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83.png" ContentType="image/png"/>
  <Override PartName="/word/media/rId88.png" ContentType="image/png"/>
  <Override PartName="/word/media/rId67.png" ContentType="image/png"/>
  <Override PartName="/word/media/rId122.png" ContentType="image/png"/>
  <Override PartName="/word/media/rId62.png" ContentType="image/png"/>
  <Override PartName="/word/media/rId97.png" ContentType="image/png"/>
  <Override PartName="/word/media/rId102.png" ContentType="image/png"/>
  <Override PartName="/word/media/rId77.png" ContentType="image/png"/>
  <Override PartName="/word/media/rId21.png" ContentType="image/png"/>
  <Override PartName="/word/media/rId92.png" ContentType="image/png"/>
  <Override PartName="/word/media/rId9.png" ContentType="image/png"/>
  <Override PartName="/word/media/rId73.png" ContentType="image/png"/>
  <Override PartName="/word/media/rId14.png" ContentType="image/png"/>
  <Override PartName="/word/media/rId46.png" ContentType="image/png"/>
  <Override PartName="/word/media/rId52.png" ContentType="image/png"/>
  <Override PartName="/word/media/rId56.png" ContentType="image/png"/>
  <Override PartName="/word/media/rId126.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Hidden Impacts of Plastic Pollution on Coral Embryos</w:t>
      </w:r>
    </w:p>
    <w:p>
      <w:pPr>
        <w:pStyle w:val="Subtitle"/>
      </w:pPr>
      <w:r>
        <w:t xml:space="preserve">PVC Leachates Affect Developmental Timing, Gene Expression, and Microbes in early life history stages of the coral</w:t>
      </w:r>
      <w:r>
        <w:t xml:space="preserve"> </w:t>
      </w:r>
      <w:r>
        <w:rPr>
          <w:i/>
          <w:iCs/>
        </w:rPr>
        <w:t xml:space="preserve">Montipora capitata</w:t>
      </w:r>
    </w:p>
    <w:p>
      <w:pPr>
        <w:pStyle w:val="Author"/>
      </w:pPr>
      <w:r>
        <w:t xml:space="preserve">Sarah Tanja</w:t>
      </w:r>
    </w:p>
    <w:p>
      <w:pPr>
        <w:pStyle w:val="Author"/>
      </w:pPr>
      <w:r>
        <w:t xml:space="preserve">Steven Roberts</w:t>
      </w:r>
    </w:p>
    <w:p>
      <w:pPr>
        <w:pStyle w:val="Author"/>
      </w:pPr>
      <w:r>
        <w:t xml:space="preserve">Francesco Saliu</w:t>
      </w:r>
    </w:p>
    <w:p>
      <w:pPr>
        <w:pStyle w:val="Author"/>
      </w:pPr>
      <w:r>
        <w:t xml:space="preserve">Stephan Salipante</w:t>
      </w:r>
    </w:p>
    <w:p>
      <w:pPr>
        <w:pStyle w:val="Author"/>
      </w:pPr>
      <w:r>
        <w:t xml:space="preserve">Jacqueline L. Padilla-Gamiño</w:t>
      </w:r>
    </w:p>
    <w:p>
      <w:pPr>
        <w:pStyle w:val="Date"/>
      </w:pPr>
      <w:r>
        <w:t xml:space="preserve">2026-05-21</w:t>
      </w:r>
    </w:p>
    <w:p>
      <w:pPr>
        <w:pStyle w:val="AbstractTitle"/>
      </w:pPr>
      <w:r>
        <w:t xml:space="preserve">Abstract</w:t>
      </w:r>
    </w:p>
    <w:p>
      <w:pPr>
        <w:pStyle w:val="Abstract"/>
      </w:pPr>
      <w:r>
        <w:t xml:space="preserve">Ocean plastic pollution releases chemical compounds as materials degrade. Polyvinyl Chloride (PVC) in particular contains high levels of endocrine-disrupting additives that are ubiquitously released into coastal environments as leachate. Despite this, the impacts of PVC leachate on marine life remain poorly understood. We investigated the ecotoxicological responses of three levels of PVC leachate (0.01 mg/L, 0.1 mg/L, 1 mg/L) during the first 14 hours post fertilization (hpf) of embryonic development in the coral</w:t>
      </w:r>
      <w:r>
        <w:t xml:space="preserve"> </w:t>
      </w:r>
      <w:r>
        <w:rPr>
          <w:i/>
          <w:iCs/>
        </w:rPr>
        <w:t xml:space="preserve">Montipora capitata</w:t>
      </w:r>
      <w:r>
        <w:t xml:space="preserve">. PVC leachate did not affect embryo survival or the rate of morphological abnormality; however, we did detect subtle changes in developmental timing. Furthermore, RNAseq analysis identified 130 differentially expressed genes (DEGs) responsive to PVC leachate treatments. Gene expression responses to leachate exposure were strongest at low (0.01 mg/L) and moderate (0.1 mg/L) levels, and during the earliest developmental stage (cleavage, 4 hpf), indicating a non-monotonic response pattern and suggesting sublethal effects of low-dose PVC leachate exposure in developing</w:t>
      </w:r>
      <w:r>
        <w:t xml:space="preserve"> </w:t>
      </w:r>
      <w:r>
        <w:rPr>
          <w:i/>
          <w:iCs/>
        </w:rPr>
        <w:t xml:space="preserve">Montipora capitata</w:t>
      </w:r>
      <w:r>
        <w:t xml:space="preserve"> </w:t>
      </w:r>
      <w:r>
        <w:t xml:space="preserve">embryos. Additionally, analysis of 16S rRNA gene sequences (V4 region) revealed 9 bacterial taxa and 17 predicted microbial functional pathways responsive to PVC leachate, with differences in abundance and/or prevalence compared to controls. Our findings indicate that current environmental levels of PVC pollution may already subtly influence gene expression and early microbiome assembly in coral embryos as early as 4 hours post-fertilization, providing new insights into the sublethal, mechanistic impacts of plastic-derived chemicals.</w:t>
      </w:r>
    </w:p>
    <w:bookmarkStart w:id="13" w:name="introduction"/>
    <w:p>
      <w:pPr>
        <w:pStyle w:val="Heading2"/>
      </w:pPr>
      <w:r>
        <w:t xml:space="preserve">Introduction</w:t>
      </w:r>
    </w:p>
    <w:p>
      <w:pPr>
        <w:pStyle w:val="FirstParagraph"/>
      </w:pPr>
      <w:r>
        <w:t xml:space="preserve">Petroleum-derived plastic pollution is a rapidly escalating</w:t>
      </w:r>
      <w:r>
        <w:t xml:space="preserve"> </w:t>
      </w:r>
      <w:r>
        <w:t xml:space="preserve">environmental concern</w:t>
      </w:r>
      <w:r>
        <w:t xml:space="preserve">(Stubbins et al. 2021)</w:t>
      </w:r>
      <w:r>
        <w:t xml:space="preserve">. Global plastic production has</w:t>
      </w:r>
      <w:r>
        <w:t xml:space="preserve"> </w:t>
      </w:r>
      <w:r>
        <w:t xml:space="preserve">doubled over the last decade, reaching an estimated 400 million tons in</w:t>
      </w:r>
      <w:r>
        <w:t xml:space="preserve"> </w:t>
      </w:r>
      <w:r>
        <w:t xml:space="preserve">2026. Of this, approximately 8-13 million tons of mismanaged plastic</w:t>
      </w:r>
      <w:r>
        <w:t xml:space="preserve"> </w:t>
      </w:r>
      <w:r>
        <w:t xml:space="preserve">waste end up in the oceans annually, adding to an estimated 200 million</w:t>
      </w:r>
      <w:r>
        <w:t xml:space="preserve"> </w:t>
      </w:r>
      <w:r>
        <w:t xml:space="preserve">tons already present in marine environments</w:t>
      </w:r>
      <w:r>
        <w:t xml:space="preserve"> </w:t>
      </w:r>
      <w:r>
        <w:t xml:space="preserve">(Jambeck et al. 2015)</w:t>
      </w:r>
      <w:r>
        <w:t xml:space="preserve">. Plastic</w:t>
      </w:r>
      <w:r>
        <w:t xml:space="preserve"> </w:t>
      </w:r>
      <w:r>
        <w:t xml:space="preserve">pollution is increasingly concentrated in marine biodiversity hotspots,</w:t>
      </w:r>
      <w:r>
        <w:t xml:space="preserve"> </w:t>
      </w:r>
      <w:r>
        <w:t xml:space="preserve">where major inputs from coastal regions in the Indo-Pacific overlap with</w:t>
      </w:r>
      <w:r>
        <w:t xml:space="preserve"> </w:t>
      </w:r>
      <w:r>
        <w:t xml:space="preserve">coral reef ecosystems of exceptional ecological value, including the</w:t>
      </w:r>
      <w:r>
        <w:t xml:space="preserve"> </w:t>
      </w:r>
      <w:r>
        <w:t xml:space="preserve">Coral Triangle (</w:t>
      </w:r>
      <w:r>
        <w:t xml:space="preserve"> </w:t>
      </w:r>
      <w:hyperlink w:anchor="fig-plastic-ocean">
        <w:r>
          <w:rPr>
            <w:rStyle w:val="Hyperlink"/>
          </w:rPr>
          <w:t xml:space="preserve">Figure 1</w:t>
        </w:r>
      </w:hyperlink>
      <w:r>
        <w:t xml:space="preserve">). Ocean currents also transport and</w:t>
      </w:r>
      <w:r>
        <w:t xml:space="preserve"> </w:t>
      </w:r>
      <w:r>
        <w:t xml:space="preserve">accumulate this debris in large offshore systems such as the Great</w:t>
      </w:r>
      <w:r>
        <w:t xml:space="preserve"> </w:t>
      </w:r>
      <w:r>
        <w:t xml:space="preserve">Pacific Garbage Patch, highlighting how regional and coastal plastic</w:t>
      </w:r>
      <w:r>
        <w:t xml:space="preserve"> </w:t>
      </w:r>
      <w:r>
        <w:t xml:space="preserve">pollution can be both a local and a global issue.</w:t>
      </w:r>
    </w:p>
    <w:tbl>
      <w:tblPr>
        <w:tblStyle w:val="Table"/>
        <w:tblW w:type="pct" w:w="5000"/>
        <w:tblLayout w:type="fixed"/>
        <w:tblLook w:firstRow="0" w:lastRow="0" w:firstColumn="0" w:lastColumn="0" w:noHBand="0" w:noVBand="0" w:val="0000"/>
      </w:tblPr>
      <w:tblGrid>
        <w:gridCol w:w="7920"/>
      </w:tblGrid>
      <w:tr>
        <w:tc>
          <w:tcPr/>
          <w:bookmarkStart w:id="12" w:name="fig-plastic-ocean"/>
          <w:p>
            <w:pPr>
              <w:pStyle w:val="Compact"/>
              <w:jc w:val="center"/>
            </w:pPr>
            <w:r>
              <w:drawing>
                <wp:inline>
                  <wp:extent cx="5334000" cy="3000374"/>
                  <wp:effectExtent b="0" l="0" r="0" t="0"/>
                  <wp:docPr descr="" title="" id="10" name="Picture"/>
                  <a:graphic>
                    <a:graphicData uri="http://schemas.openxmlformats.org/drawingml/2006/picture">
                      <pic:pic>
                        <pic:nvPicPr>
                          <pic:cNvPr descr="figs/plastic_ocean3.png" id="11" name="Picture"/>
                          <pic:cNvPicPr>
                            <a:picLocks noChangeArrowheads="1" noChangeAspect="1"/>
                          </pic:cNvPicPr>
                        </pic:nvPicPr>
                        <pic:blipFill>
                          <a:blip r:embed="rId9"/>
                          <a:stretch>
                            <a:fillRect/>
                          </a:stretch>
                        </pic:blipFill>
                        <pic:spPr bwMode="auto">
                          <a:xfrm>
                            <a:off x="0" y="0"/>
                            <a:ext cx="5334000" cy="3000374"/>
                          </a:xfrm>
                          <a:prstGeom prst="rect">
                            <a:avLst/>
                          </a:prstGeom>
                          <a:noFill/>
                          <a:ln w="9525">
                            <a:noFill/>
                            <a:headEnd/>
                            <a:tailEnd/>
                          </a:ln>
                        </pic:spPr>
                      </pic:pic>
                    </a:graphicData>
                  </a:graphic>
                </wp:inline>
              </w:drawing>
            </w:r>
          </w:p>
          <w:p>
            <w:pPr>
              <w:jc w:val="center"/>
            </w:pPr>
            <w:pPr>
              <w:jc w:val="left"/>
              <w:spacing w:before="200"/>
              <w:pStyle w:val="ImageCaption"/>
            </w:pPr>
            <w:r>
              <w:t xml:space="preserve">Figure 1: Share of global plastic waste emitted to the ocean, 2019 Annual</w:t>
            </w:r>
            <w:r>
              <w:t xml:space="preserve"> </w:t>
            </w:r>
            <w:r>
              <w:t xml:space="preserve">estimate of plastic emissions. A country’s total does not include waste</w:t>
            </w:r>
            <w:r>
              <w:t xml:space="preserve"> </w:t>
            </w:r>
            <w:r>
              <w:t xml:space="preserve">that is exported overseas, which may be at higher risk of entering the</w:t>
            </w:r>
            <w:r>
              <w:t xml:space="preserve"> </w:t>
            </w:r>
            <w:r>
              <w:t xml:space="preserve">ocean. Data sourced from</w:t>
            </w:r>
            <w:r>
              <w:t xml:space="preserve"> </w:t>
            </w:r>
            <w:r>
              <w:t xml:space="preserve">(Meijer et al. 2021)</w:t>
            </w:r>
            <w:r>
              <w:t xml:space="preserve"> </w:t>
            </w:r>
            <w:r>
              <w:t xml:space="preserve">- processed by Our World in</w:t>
            </w:r>
            <w:r>
              <w:t xml:space="preserve"> </w:t>
            </w:r>
            <w:r>
              <w:t xml:space="preserve">Data</w:t>
            </w:r>
            <w:r>
              <w:t xml:space="preserve"> </w:t>
            </w:r>
            <w:r>
              <w:t xml:space="preserve">(Ritchie 2026)</w:t>
            </w:r>
            <w:r>
              <w:t xml:space="preserve">. Locations of the Coral Triangle and the Hawaiian</w:t>
            </w:r>
            <w:r>
              <w:t xml:space="preserve"> </w:t>
            </w:r>
            <w:r>
              <w:t xml:space="preserve">Islands indicated by</w:t>
            </w:r>
            <w:r>
              <w:t xml:space="preserve"> </w:t>
            </w:r>
            <w:r>
              <w:t xml:space="preserve">outline.</w:t>
            </w:r>
          </w:p>
          <w:bookmarkEnd w:id="12"/>
        </w:tc>
      </w:tr>
    </w:tbl>
    <w:p>
      <w:pPr>
        <w:pStyle w:val="BodyText"/>
      </w:pPr>
      <w:r>
        <w:t xml:space="preserve">Once in the ocean, plastics are exposed to UV radiation and mechanical</w:t>
      </w:r>
      <w:r>
        <w:t xml:space="preserve"> </w:t>
      </w:r>
      <w:r>
        <w:t xml:space="preserve">weathering causing them to become brittle and fragment into</w:t>
      </w:r>
      <w:r>
        <w:t xml:space="preserve"> </w:t>
      </w:r>
      <w:r>
        <w:t xml:space="preserve">microplastics (plastics &lt; 5 mm) and nanoplastics (plastics &lt;1 mm)</w:t>
      </w:r>
      <w:r>
        <w:t xml:space="preserve"> </w:t>
      </w:r>
      <w:r>
        <w:t xml:space="preserve">(MacLeod et al. 2021)</w:t>
      </w:r>
      <w:r>
        <w:t xml:space="preserve">. As plastics break down physically, they also undergo</w:t>
      </w:r>
      <w:r>
        <w:t xml:space="preserve"> </w:t>
      </w:r>
      <w:r>
        <w:t xml:space="preserve">chemical degradation, releasing chemical additives and breakdown</w:t>
      </w:r>
      <w:r>
        <w:t xml:space="preserve"> </w:t>
      </w:r>
      <w:r>
        <w:t xml:space="preserve">products directly into coastal waters as leachate</w:t>
      </w:r>
      <w:r>
        <w:t xml:space="preserve"> </w:t>
      </w:r>
      <w:r>
        <w:t xml:space="preserve">(Hahladakis et al. 2018)</w:t>
      </w:r>
      <w:r>
        <w:t xml:space="preserve">.</w:t>
      </w:r>
      <w:r>
        <w:t xml:space="preserve"> </w:t>
      </w:r>
      <w:r>
        <w:t xml:space="preserve">These leachates originate from multiple sources, including landfills,</w:t>
      </w:r>
      <w:r>
        <w:t xml:space="preserve"> </w:t>
      </w:r>
      <w:r>
        <w:t xml:space="preserve">sewage, and nonpoint-source runoff, and ultimately concentrate in urban</w:t>
      </w:r>
      <w:r>
        <w:t xml:space="preserve"> </w:t>
      </w:r>
      <w:r>
        <w:t xml:space="preserve">coastal zones. Whether in marine or terrestrial environments, plastic</w:t>
      </w:r>
      <w:r>
        <w:t xml:space="preserve"> </w:t>
      </w:r>
      <w:r>
        <w:t xml:space="preserve">debris can release more than 10,000 chemical compounds. There is growing</w:t>
      </w:r>
      <w:r>
        <w:t xml:space="preserve"> </w:t>
      </w:r>
      <w:r>
        <w:t xml:space="preserve">public awareness and concern over the impacts of plastic-derived</w:t>
      </w:r>
      <w:r>
        <w:t xml:space="preserve"> </w:t>
      </w:r>
      <w:r>
        <w:t xml:space="preserve">leachate on human and environmental health.</w:t>
      </w:r>
    </w:p>
    <w:p>
      <w:pPr>
        <w:pStyle w:val="BodyText"/>
      </w:pPr>
      <w:r>
        <w:t xml:space="preserve">Plastic leachate is a complex chemical mixture containing additives and</w:t>
      </w:r>
      <w:r>
        <w:t xml:space="preserve"> </w:t>
      </w:r>
      <w:r>
        <w:t xml:space="preserve">degradation byproducts, such as UV stabilizers, colorants, plasticizers,</w:t>
      </w:r>
      <w:r>
        <w:t xml:space="preserve"> </w:t>
      </w:r>
      <w:r>
        <w:t xml:space="preserve">bisphenol A (BPA), and per- and polyfluoroalkyl substances (PFAS)</w:t>
      </w:r>
      <w:r>
        <w:t xml:space="preserve"> </w:t>
      </w:r>
      <w:r>
        <w:t xml:space="preserve">(Rochman et al. 2019)</w:t>
      </w:r>
      <w:r>
        <w:t xml:space="preserve">. Among these, plasticizers (especially phthalates or</w:t>
      </w:r>
      <w:r>
        <w:t xml:space="preserve"> </w:t>
      </w:r>
      <w:r>
        <w:t xml:space="preserve">phthalate acid esters (PAEs) used to enhance plastic flexibility), are</w:t>
      </w:r>
      <w:r>
        <w:t xml:space="preserve"> </w:t>
      </w:r>
      <w:r>
        <w:t xml:space="preserve">the most abundant, accounting for up to 70% of the mass of PVC products.</w:t>
      </w:r>
      <w:r>
        <w:t xml:space="preserve"> </w:t>
      </w:r>
      <w:r>
        <w:t xml:space="preserve">Phthalates are endocrine-disrupting chemicals (EDCs) that can mimic or</w:t>
      </w:r>
      <w:r>
        <w:t xml:space="preserve"> </w:t>
      </w:r>
      <w:r>
        <w:t xml:space="preserve">interfere with hormonal signaling pathways that regulate developmental,</w:t>
      </w:r>
      <w:r>
        <w:t xml:space="preserve"> </w:t>
      </w:r>
      <w:r>
        <w:t xml:space="preserve">reproductive, and immune function in both humans and wildlife</w:t>
      </w:r>
      <w:r>
        <w:t xml:space="preserve"> </w:t>
      </w:r>
      <w:r>
        <w:t xml:space="preserve">(Maqbool et al. 2016)</w:t>
      </w:r>
      <w:r>
        <w:t xml:space="preserve">. These additives are increasing in the marine</w:t>
      </w:r>
      <w:r>
        <w:t xml:space="preserve"> </w:t>
      </w:r>
      <w:r>
        <w:t xml:space="preserve">environment alongside overall plastic pollution.</w:t>
      </w:r>
    </w:p>
    <w:p>
      <w:pPr>
        <w:pStyle w:val="BodyText"/>
      </w:pPr>
      <w:r>
        <w:t xml:space="preserve">Early life stages in marine invertebrates (embryos and larvae) are often</w:t>
      </w:r>
      <w:r>
        <w:t xml:space="preserve"> </w:t>
      </w:r>
      <w:r>
        <w:t xml:space="preserve">especially vulnerable to pollution</w:t>
      </w:r>
      <w:r>
        <w:t xml:space="preserve"> </w:t>
      </w:r>
      <w:r>
        <w:t xml:space="preserve">(Richmond et al. 2018)</w:t>
      </w:r>
      <w:r>
        <w:t xml:space="preserve">. Coral embryos are</w:t>
      </w:r>
      <w:r>
        <w:t xml:space="preserve"> </w:t>
      </w:r>
      <w:r>
        <w:t xml:space="preserve">lipid-rich, and may be particularly susceptible to phthalates and other</w:t>
      </w:r>
      <w:r>
        <w:t xml:space="preserve"> </w:t>
      </w:r>
      <w:r>
        <w:t xml:space="preserve">EDCs which are lipophilic. While endocrine signaling in cnidarians is</w:t>
      </w:r>
      <w:r>
        <w:t xml:space="preserve"> </w:t>
      </w:r>
      <w:r>
        <w:t xml:space="preserve">not fully understood, endocrine hormones are known to play important</w:t>
      </w:r>
      <w:r>
        <w:t xml:space="preserve"> </w:t>
      </w:r>
      <w:r>
        <w:t xml:space="preserve">roles in coral spawning timing, and embryonic cellular development</w:t>
      </w:r>
      <w:r>
        <w:t xml:space="preserve"> </w:t>
      </w:r>
      <w:r>
        <w:t xml:space="preserve">(Tarrant et al. 2004; Tarrant 2005; Tarrant 2007)</w:t>
      </w:r>
      <w:r>
        <w:t xml:space="preserve">. There is potential</w:t>
      </w:r>
      <w:r>
        <w:t xml:space="preserve"> </w:t>
      </w:r>
      <w:r>
        <w:t xml:space="preserve">for plastic-derived leachate endocrine-like disruption, and if coral</w:t>
      </w:r>
      <w:r>
        <w:t xml:space="preserve"> </w:t>
      </w:r>
      <w:r>
        <w:t xml:space="preserve">sexual reproduction and recruitment is negatively impacted, whole coral</w:t>
      </w:r>
      <w:r>
        <w:t xml:space="preserve"> </w:t>
      </w:r>
      <w:r>
        <w:t xml:space="preserve">reef ecosystems could be degraded over time</w:t>
      </w:r>
      <w:r>
        <w:t xml:space="preserve"> </w:t>
      </w:r>
      <w:r>
        <w:t xml:space="preserve">(Richmond 1997)</w:t>
      </w:r>
      <w:r>
        <w:t xml:space="preserve">.</w:t>
      </w:r>
    </w:p>
    <w:p>
      <w:pPr>
        <w:pStyle w:val="BodyText"/>
      </w:pPr>
      <w:r>
        <w:t xml:space="preserve">Relatively few studies have investigated the impacts of plastic-derived</w:t>
      </w:r>
      <w:r>
        <w:t xml:space="preserve"> </w:t>
      </w:r>
      <w:r>
        <w:t xml:space="preserve">leachate on marine invertebrates. Studies that have been conducted</w:t>
      </w:r>
      <w:r>
        <w:t xml:space="preserve"> </w:t>
      </w:r>
      <w:r>
        <w:t xml:space="preserve">primarily measure affects on fertilization, survival, development,</w:t>
      </w:r>
      <w:r>
        <w:t xml:space="preserve"> </w:t>
      </w:r>
      <w:r>
        <w:t xml:space="preserve">larval motility, settlement, and metamorphosis. Phthalates and leachates</w:t>
      </w:r>
      <w:r>
        <w:t xml:space="preserve"> </w:t>
      </w:r>
      <w:r>
        <w:t xml:space="preserve">from weathered polyvinyl chloride (PVC) affect larvae in the sea urchins</w:t>
      </w:r>
      <w:r>
        <w:t xml:space="preserve"> </w:t>
      </w:r>
      <w:r>
        <w:rPr>
          <w:i/>
          <w:iCs/>
        </w:rPr>
        <w:t xml:space="preserve">Paracentrotus lividus</w:t>
      </w:r>
      <w:r>
        <w:t xml:space="preserve"> </w:t>
      </w:r>
      <w:r>
        <w:t xml:space="preserve">(Gambardella et al. 2024; Jimenez-Guri et al. 2023; Rendell-Bhatti et al. 2021)</w:t>
      </w:r>
      <w:r>
        <w:t xml:space="preserve"> </w:t>
      </w:r>
      <w:r>
        <w:t xml:space="preserve">and</w:t>
      </w:r>
      <w:r>
        <w:t xml:space="preserve"> </w:t>
      </w:r>
      <w:r>
        <w:rPr>
          <w:i/>
          <w:iCs/>
        </w:rPr>
        <w:t xml:space="preserve">Strongylocentrotus purpuratus</w:t>
      </w:r>
      <w:r>
        <w:t xml:space="preserve"> </w:t>
      </w:r>
      <w:r>
        <w:t xml:space="preserve">(Paganos et al. 2023)</w:t>
      </w:r>
      <w:r>
        <w:t xml:space="preserve">. Embryonic development of the brown mussel,</w:t>
      </w:r>
      <w:r>
        <w:t xml:space="preserve"> </w:t>
      </w:r>
      <w:r>
        <w:rPr>
          <w:i/>
          <w:iCs/>
        </w:rPr>
        <w:t xml:space="preserve">Perna</w:t>
      </w:r>
      <w:r>
        <w:rPr>
          <w:i/>
          <w:iCs/>
        </w:rPr>
        <w:t xml:space="preserve"> </w:t>
      </w:r>
      <w:r>
        <w:rPr>
          <w:i/>
          <w:iCs/>
        </w:rPr>
        <w:t xml:space="preserve">perna</w:t>
      </w:r>
      <w:r>
        <w:t xml:space="preserve">, is sensitive to microplastic leachate</w:t>
      </w:r>
      <w:r>
        <w:t xml:space="preserve"> </w:t>
      </w:r>
      <w:r>
        <w:t xml:space="preserve">(Gambardella et al. 2024)</w:t>
      </w:r>
      <w:r>
        <w:t xml:space="preserve">.</w:t>
      </w:r>
      <w:r>
        <w:t xml:space="preserve"> </w:t>
      </w:r>
      <w:r>
        <w:t xml:space="preserve">Even leachate from bioplastics contain additives that reduce egg</w:t>
      </w:r>
      <w:r>
        <w:t xml:space="preserve"> </w:t>
      </w:r>
      <w:r>
        <w:t xml:space="preserve">fertilization, larval motility, and survival during the early</w:t>
      </w:r>
      <w:r>
        <w:t xml:space="preserve"> </w:t>
      </w:r>
      <w:r>
        <w:t xml:space="preserve">development of the mussel</w:t>
      </w:r>
      <w:r>
        <w:t xml:space="preserve"> </w:t>
      </w:r>
      <w:r>
        <w:rPr>
          <w:i/>
          <w:iCs/>
        </w:rPr>
        <w:t xml:space="preserve">Mytilus galloprovincialis</w:t>
      </w:r>
      <w:r>
        <w:t xml:space="preserve"> </w:t>
      </w:r>
      <w:r>
        <w:t xml:space="preserve">(Capolupo et al. 2023)</w:t>
      </w:r>
      <w:r>
        <w:t xml:space="preserve">. In the stony coral</w:t>
      </w:r>
      <w:r>
        <w:t xml:space="preserve"> </w:t>
      </w:r>
      <w:r>
        <w:rPr>
          <w:i/>
          <w:iCs/>
        </w:rPr>
        <w:t xml:space="preserve">Stylophora pistillata</w:t>
      </w:r>
      <w:r>
        <w:t xml:space="preserve">, high</w:t>
      </w:r>
      <w:r>
        <w:t xml:space="preserve"> </w:t>
      </w:r>
      <w:r>
        <w:t xml:space="preserve">exposure levels of dimethyl phthalate (DMP, 100 ug/L) reduced larval</w:t>
      </w:r>
      <w:r>
        <w:t xml:space="preserve"> </w:t>
      </w:r>
      <w:r>
        <w:t xml:space="preserve">settlement, while exposure to environmentally relevant levels of plastic</w:t>
      </w:r>
      <w:r>
        <w:t xml:space="preserve"> </w:t>
      </w:r>
      <w:r>
        <w:t xml:space="preserve">additive (1 ug/L of 4-nonylphenol 4-NP) reduced settlement of the soft</w:t>
      </w:r>
      <w:r>
        <w:t xml:space="preserve"> </w:t>
      </w:r>
      <w:r>
        <w:t xml:space="preserve">coral</w:t>
      </w:r>
      <w:r>
        <w:t xml:space="preserve"> </w:t>
      </w:r>
      <w:r>
        <w:rPr>
          <w:i/>
          <w:iCs/>
        </w:rPr>
        <w:t xml:space="preserve">Rhytisma fulvum</w:t>
      </w:r>
      <w:r>
        <w:t xml:space="preserve"> </w:t>
      </w:r>
      <w:r>
        <w:t xml:space="preserve">(Vered and Shenkar 2022)</w:t>
      </w:r>
      <w:r>
        <w:t xml:space="preserve">.</w:t>
      </w:r>
      <w:r>
        <w:t xml:space="preserve"> </w:t>
      </w:r>
      <w:r>
        <w:t xml:space="preserve">(Berry et al. 2019)</w:t>
      </w:r>
      <w:r>
        <w:t xml:space="preserve"> </w:t>
      </w:r>
      <w:r>
        <w:t xml:space="preserve">found limited</w:t>
      </w:r>
      <w:r>
        <w:t xml:space="preserve"> </w:t>
      </w:r>
      <w:r>
        <w:t xml:space="preserve">effects of weathered polypropylene on fertilization of the broadcast</w:t>
      </w:r>
      <w:r>
        <w:t xml:space="preserve"> </w:t>
      </w:r>
      <w:r>
        <w:t xml:space="preserve">spawning coral,</w:t>
      </w:r>
      <w:r>
        <w:t xml:space="preserve"> </w:t>
      </w:r>
      <w:r>
        <w:rPr>
          <w:i/>
          <w:iCs/>
        </w:rPr>
        <w:t xml:space="preserve">Acropora tenuis</w:t>
      </w:r>
      <w:r>
        <w:t xml:space="preserve">, but no significant effects on embryo</w:t>
      </w:r>
      <w:r>
        <w:t xml:space="preserve"> </w:t>
      </w:r>
      <w:r>
        <w:t xml:space="preserve">development and larval settlement.</w:t>
      </w:r>
      <w:r>
        <w:t xml:space="preserve"> </w:t>
      </w:r>
      <w:r>
        <w:t xml:space="preserve">Wilkins et al. (2024)</w:t>
      </w:r>
      <w:r>
        <w:t xml:space="preserve"> </w:t>
      </w:r>
      <w:r>
        <w:t xml:space="preserve">found no reduced</w:t>
      </w:r>
      <w:r>
        <w:t xml:space="preserve"> </w:t>
      </w:r>
      <w:r>
        <w:t xml:space="preserve">fertilization rates in</w:t>
      </w:r>
      <w:r>
        <w:t xml:space="preserve"> </w:t>
      </w:r>
      <w:r>
        <w:rPr>
          <w:i/>
          <w:iCs/>
        </w:rPr>
        <w:t xml:space="preserve">Montipora capitata</w:t>
      </w:r>
      <w:r>
        <w:t xml:space="preserve"> </w:t>
      </w:r>
      <w:r>
        <w:t xml:space="preserve">exposed to microplastics and</w:t>
      </w:r>
      <w:r>
        <w:t xml:space="preserve"> </w:t>
      </w:r>
      <w:r>
        <w:t xml:space="preserve">leachates from commercially sources virgin PP, HDPE, and LDPE</w:t>
      </w:r>
      <w:r>
        <w:t xml:space="preserve"> </w:t>
      </w:r>
      <w:r>
        <w:t xml:space="preserve">microspheres.</w:t>
      </w:r>
      <w:r>
        <w:t xml:space="preserve"> </w:t>
      </w:r>
      <w:r>
        <w:t xml:space="preserve">(Wilkins and Richmond 2025)</w:t>
      </w:r>
      <w:r>
        <w:t xml:space="preserve"> </w:t>
      </w:r>
      <w:r>
        <w:t xml:space="preserve">found delayed or cumulative effects of</w:t>
      </w:r>
      <w:r>
        <w:t xml:space="preserve"> </w:t>
      </w:r>
      <w:r>
        <w:t xml:space="preserve">reduced planulae survival and settlement in</w:t>
      </w:r>
      <w:r>
        <w:t xml:space="preserve"> </w:t>
      </w:r>
      <w:r>
        <w:rPr>
          <w:i/>
          <w:iCs/>
        </w:rPr>
        <w:t xml:space="preserve">Montipora capitata</w:t>
      </w:r>
      <w:r>
        <w:t xml:space="preserve"> </w:t>
      </w:r>
      <w:r>
        <w:t xml:space="preserve">and</w:t>
      </w:r>
      <w:r>
        <w:t xml:space="preserve"> </w:t>
      </w:r>
      <w:r>
        <w:rPr>
          <w:i/>
          <w:iCs/>
        </w:rPr>
        <w:t xml:space="preserve">Porites</w:t>
      </w:r>
      <w:r>
        <w:t xml:space="preserve"> </w:t>
      </w:r>
      <w:r>
        <w:t xml:space="preserve">corals exposed to virgin LDPE and HDPE leachates - and HDPE</w:t>
      </w:r>
      <w:r>
        <w:t xml:space="preserve"> </w:t>
      </w:r>
      <w:r>
        <w:t xml:space="preserve">promoted settlement.</w:t>
      </w:r>
    </w:p>
    <w:p>
      <w:pPr>
        <w:pStyle w:val="BodyText"/>
      </w:pPr>
      <w:r>
        <w:t xml:space="preserve">Together these studies indicate that leachate may be more toxic than</w:t>
      </w:r>
      <w:r>
        <w:t xml:space="preserve"> </w:t>
      </w:r>
      <w:r>
        <w:t xml:space="preserve">physical particles, and weathered plastics are more toxic than virgin</w:t>
      </w:r>
      <w:r>
        <w:t xml:space="preserve"> </w:t>
      </w:r>
      <w:r>
        <w:t xml:space="preserve">plastics. They also highlight the complexity of studying plastic-derived</w:t>
      </w:r>
      <w:r>
        <w:t xml:space="preserve"> </w:t>
      </w:r>
      <w:r>
        <w:t xml:space="preserve">leachate and how our understanding of the current impacts of plastic</w:t>
      </w:r>
      <w:r>
        <w:t xml:space="preserve"> </w:t>
      </w:r>
      <w:r>
        <w:t xml:space="preserve">leachate on marine organisms remains limited for several reasons.</w:t>
      </w:r>
      <w:r>
        <w:t xml:space="preserve"> </w:t>
      </w:r>
      <w:r>
        <w:t xml:space="preserve">Plastic leachates are complex mixtures of thousands of additives whose</w:t>
      </w:r>
      <w:r>
        <w:t xml:space="preserve"> </w:t>
      </w:r>
      <w:r>
        <w:t xml:space="preserve">composition varies with polymer type, age, and weathering state, making</w:t>
      </w:r>
      <w:r>
        <w:t xml:space="preserve"> </w:t>
      </w:r>
      <w:r>
        <w:t xml:space="preserve">it difficult to standardize exposure treatments</w:t>
      </w:r>
      <w:r>
        <w:t xml:space="preserve"> </w:t>
      </w:r>
      <w:r>
        <w:t xml:space="preserve">(Gunaalan et al. 2020)</w:t>
      </w:r>
      <w:r>
        <w:t xml:space="preserve">. Many</w:t>
      </w:r>
      <w:r>
        <w:t xml:space="preserve"> </w:t>
      </w:r>
      <w:r>
        <w:t xml:space="preserve">leachate compounds occur at very low environmental concentrations</w:t>
      </w:r>
      <w:r>
        <w:t xml:space="preserve"> </w:t>
      </w:r>
      <w:r>
        <w:t xml:space="preserve">(ng-ug/L range), and their detection and quantification require highly</w:t>
      </w:r>
      <w:r>
        <w:t xml:space="preserve"> </w:t>
      </w:r>
      <w:r>
        <w:t xml:space="preserve">sensitive analytical techniques, specialized expertise, and advanced</w:t>
      </w:r>
      <w:r>
        <w:t xml:space="preserve"> </w:t>
      </w:r>
      <w:r>
        <w:t xml:space="preserve">infrastructure</w:t>
      </w:r>
      <w:r>
        <w:t xml:space="preserve"> </w:t>
      </w:r>
      <w:r>
        <w:t xml:space="preserve">(Saliu et al. 2020)</w:t>
      </w:r>
      <w:r>
        <w:t xml:space="preserve">. In addition, many past experimental</w:t>
      </w:r>
      <w:r>
        <w:t xml:space="preserve"> </w:t>
      </w:r>
      <w:r>
        <w:t xml:space="preserve">studies still rely on high, acute exposure concentrations, which limit</w:t>
      </w:r>
      <w:r>
        <w:t xml:space="preserve"> </w:t>
      </w:r>
      <w:r>
        <w:t xml:space="preserve">physiological interpretation in an environmentally relevant context</w:t>
      </w:r>
      <w:r>
        <w:t xml:space="preserve"> </w:t>
      </w:r>
      <w:r>
        <w:t xml:space="preserve">(Weis and Palmquist 2021)</w:t>
      </w:r>
      <w:r>
        <w:t xml:space="preserve">. Finally, integrative physiological studies remain</w:t>
      </w:r>
      <w:r>
        <w:t xml:space="preserve"> </w:t>
      </w:r>
      <w:r>
        <w:t xml:space="preserve">scarce, with most research focusing on survival, growth, or gross</w:t>
      </w:r>
      <w:r>
        <w:t xml:space="preserve"> </w:t>
      </w:r>
      <w:r>
        <w:t xml:space="preserve">developmental endpoints rather than mechanistic responses such as gene</w:t>
      </w:r>
      <w:r>
        <w:t xml:space="preserve"> </w:t>
      </w:r>
      <w:r>
        <w:t xml:space="preserve">expression or microbiome dynamics.</w:t>
      </w:r>
    </w:p>
    <w:p>
      <w:pPr>
        <w:pStyle w:val="BodyText"/>
      </w:pPr>
      <w:r>
        <w:t xml:space="preserve">In this study, we chose to focus on exploring the potential for</w:t>
      </w:r>
      <w:r>
        <w:t xml:space="preserve"> </w:t>
      </w:r>
      <w:r>
        <w:t xml:space="preserve">endocrine-like disruption and non-linear responses in early life history</w:t>
      </w:r>
      <w:r>
        <w:t xml:space="preserve"> </w:t>
      </w:r>
      <w:r>
        <w:t xml:space="preserve">stages of coral. We chose PVC plastic because it has the highest</w:t>
      </w:r>
      <w:r>
        <w:t xml:space="preserve"> </w:t>
      </w:r>
      <w:r>
        <w:t xml:space="preserve">phthalate content. We examined how PVC microplastic leachate impacts the</w:t>
      </w:r>
      <w:r>
        <w:t xml:space="preserve"> </w:t>
      </w:r>
      <w:r>
        <w:t xml:space="preserve">development, microbiome, and transcriptomic signatures of embryos of the</w:t>
      </w:r>
      <w:r>
        <w:t xml:space="preserve"> </w:t>
      </w:r>
      <w:r>
        <w:t xml:space="preserve">coral</w:t>
      </w:r>
      <w:r>
        <w:t xml:space="preserve"> </w:t>
      </w:r>
      <w:r>
        <w:rPr>
          <w:i/>
          <w:iCs/>
        </w:rPr>
        <w:t xml:space="preserve">Montipora capitata</w:t>
      </w:r>
      <w:r>
        <w:t xml:space="preserve">. Coral reefs are one of the most valuable</w:t>
      </w:r>
      <w:r>
        <w:t xml:space="preserve"> </w:t>
      </w:r>
      <w:r>
        <w:t xml:space="preserve">ecosystems on the planet; despite covering less than 1% of the oceans,</w:t>
      </w:r>
      <w:r>
        <w:t xml:space="preserve"> </w:t>
      </w:r>
      <w:r>
        <w:t xml:space="preserve">they support at least 25% of all marine species</w:t>
      </w:r>
      <w:r>
        <w:t xml:space="preserve"> </w:t>
      </w:r>
      <w:r>
        <w:t xml:space="preserve">(Reaka-Kudla 1997)</w:t>
      </w:r>
      <w:r>
        <w:t xml:space="preserve">.</w:t>
      </w:r>
      <w:r>
        <w:t xml:space="preserve"> </w:t>
      </w:r>
      <w:r>
        <w:t xml:space="preserve">Reef-building corals provide global services estimated to be worth</w:t>
      </w:r>
      <w:r>
        <w:t xml:space="preserve"> </w:t>
      </w:r>
      <w:r>
        <w:t xml:space="preserve">US$2.7 trillion per year by protecting coasts from storm surge and wave</w:t>
      </w:r>
      <w:r>
        <w:t xml:space="preserve"> </w:t>
      </w:r>
      <w:r>
        <w:t xml:space="preserve">erosion, supporting tourism and fisheries, and contributing to medicinal</w:t>
      </w:r>
      <w:r>
        <w:t xml:space="preserve"> </w:t>
      </w:r>
      <w:r>
        <w:t xml:space="preserve">compound discovery</w:t>
      </w:r>
      <w:r>
        <w:t xml:space="preserve"> </w:t>
      </w:r>
      <w:r>
        <w:t xml:space="preserve">(Souter et al. 2020)</w:t>
      </w:r>
      <w:r>
        <w:t xml:space="preserve">. However, coral reefs are already in</w:t>
      </w:r>
      <w:r>
        <w:t xml:space="preserve"> </w:t>
      </w:r>
      <w:r>
        <w:t xml:space="preserve">decline with global cover reduced by around 50% since the 1950s, and</w:t>
      </w:r>
      <w:r>
        <w:t xml:space="preserve"> </w:t>
      </w:r>
      <w:r>
        <w:t xml:space="preserve">vulnerable to increasing coastal marine plastic pollution</w:t>
      </w:r>
      <w:r>
        <w:t xml:space="preserve"> </w:t>
      </w:r>
      <w:r>
        <w:t xml:space="preserve">(Eddy et al. 2018, 2021; Oppen et al. 2017)</w:t>
      </w:r>
      <w:r>
        <w:t xml:space="preserve">. Plastic pollution is ubiquitous across</w:t>
      </w:r>
      <w:r>
        <w:t xml:space="preserve"> </w:t>
      </w:r>
      <w:r>
        <w:t xml:space="preserve">coral reef ecosystems globally</w:t>
      </w:r>
      <w:r>
        <w:t xml:space="preserve"> </w:t>
      </w:r>
      <w:r>
        <w:t xml:space="preserve">(Pinheiro et al. 2023)</w:t>
      </w:r>
      <w:r>
        <w:t xml:space="preserve"> </w:t>
      </w:r>
      <w:r>
        <w:t xml:space="preserve">as they are located</w:t>
      </w:r>
      <w:r>
        <w:t xml:space="preserve"> </w:t>
      </w:r>
      <w:r>
        <w:t xml:space="preserve">near major coastal sources of plastic input and are influenced by the</w:t>
      </w:r>
      <w:r>
        <w:t xml:space="preserve"> </w:t>
      </w:r>
      <w:r>
        <w:t xml:space="preserve">same oceanographic systems that transport and concentrate marine debris</w:t>
      </w:r>
      <w:r>
        <w:t xml:space="preserve"> </w:t>
      </w:r>
      <w:r>
        <w:t xml:space="preserve">(Lamb et al. 2018)</w:t>
      </w:r>
      <w:r>
        <w:t xml:space="preserve">. One study found that plastic debris correlated with</w:t>
      </w:r>
      <w:r>
        <w:t xml:space="preserve"> </w:t>
      </w:r>
      <w:r>
        <w:t xml:space="preserve">higher rates of disease</w:t>
      </w:r>
      <w:r>
        <w:t xml:space="preserve"> </w:t>
      </w:r>
      <w:r>
        <w:t xml:space="preserve">(Lamb et al. 2018)</w:t>
      </w:r>
      <w:r>
        <w:t xml:space="preserve">, and another showed that poorer</w:t>
      </w:r>
      <w:r>
        <w:t xml:space="preserve"> </w:t>
      </w:r>
      <w:r>
        <w:t xml:space="preserve">water quality, due to closer proximity to an urban center, reduced</w:t>
      </w:r>
      <w:r>
        <w:t xml:space="preserve"> </w:t>
      </w:r>
      <w:r>
        <w:t xml:space="preserve">recovery after a heatwave-induced bleaching event</w:t>
      </w:r>
      <w:r>
        <w:t xml:space="preserve"> </w:t>
      </w:r>
      <w:r>
        <w:t xml:space="preserve">(Claar et al. 2020)</w:t>
      </w:r>
      <w:r>
        <w:t xml:space="preserve">.</w:t>
      </w:r>
    </w:p>
    <w:p>
      <w:pPr>
        <w:pStyle w:val="BodyText"/>
      </w:pPr>
      <w:r>
        <w:rPr>
          <w:i/>
          <w:iCs/>
        </w:rPr>
        <w:t xml:space="preserve">M. capitata</w:t>
      </w:r>
      <w:r>
        <w:t xml:space="preserve"> </w:t>
      </w:r>
      <w:r>
        <w:t xml:space="preserve">is a broadcast spawner that releases gametes into the</w:t>
      </w:r>
      <w:r>
        <w:t xml:space="preserve"> </w:t>
      </w:r>
      <w:r>
        <w:t xml:space="preserve">water column during synchronous spawning events. Fertilization and</w:t>
      </w:r>
      <w:r>
        <w:t xml:space="preserve"> </w:t>
      </w:r>
      <w:r>
        <w:t xml:space="preserve">embryonic development occur in the water column before larvae settle and</w:t>
      </w:r>
      <w:r>
        <w:t xml:space="preserve"> </w:t>
      </w:r>
      <w:r>
        <w:t xml:space="preserve">undergo metamorphosis. Early life history stages can be particularly</w:t>
      </w:r>
      <w:r>
        <w:t xml:space="preserve"> </w:t>
      </w:r>
      <w:r>
        <w:t xml:space="preserve">vulnerable to plastic leachates due to direct exposure to surrounding</w:t>
      </w:r>
      <w:r>
        <w:t xml:space="preserve"> </w:t>
      </w:r>
      <w:r>
        <w:t xml:space="preserve">seawater and their high sensitivity during critical periods of cellular</w:t>
      </w:r>
      <w:r>
        <w:t xml:space="preserve"> </w:t>
      </w:r>
      <w:r>
        <w:t xml:space="preserve">differentiation</w:t>
      </w:r>
      <w:r>
        <w:t xml:space="preserve"> </w:t>
      </w:r>
      <w:r>
        <w:t xml:space="preserve">(Zhang et al. 2021; Lynch et al. 2022)</w:t>
      </w:r>
      <w:r>
        <w:t xml:space="preserve">.</w:t>
      </w:r>
    </w:p>
    <w:p>
      <w:pPr>
        <w:pStyle w:val="BodyText"/>
      </w:pPr>
      <w:r>
        <w:t xml:space="preserve">Given that PVC leachates contain endocrine disrupting chemicals with</w:t>
      </w:r>
      <w:r>
        <w:t xml:space="preserve"> </w:t>
      </w:r>
      <w:r>
        <w:t xml:space="preserve">potential to induce low-dose effects at environmentally relevant</w:t>
      </w:r>
      <w:r>
        <w:t xml:space="preserve"> </w:t>
      </w:r>
      <w:r>
        <w:t xml:space="preserve">concentrations, we hypothesize that PVC leachate exposure would produce</w:t>
      </w:r>
      <w:r>
        <w:t xml:space="preserve"> </w:t>
      </w:r>
      <w:r>
        <w:t xml:space="preserve">low-dose effects across organismal, transcriptomic, and microbiome</w:t>
      </w:r>
      <w:r>
        <w:t xml:space="preserve"> </w:t>
      </w:r>
      <w:r>
        <w:t xml:space="preserve">responses. Specifically, we predicted that PVC leachate exposure would:</w:t>
      </w:r>
    </w:p>
    <w:p>
      <w:pPr>
        <w:pStyle w:val="BlockText"/>
      </w:pPr>
      <w:r>
        <w:rPr>
          <w:i/>
          <w:iCs/>
        </w:rPr>
        <w:t xml:space="preserve">H</w:t>
      </w:r>
      <w:r>
        <w:rPr>
          <w:i/>
          <w:iCs/>
          <w:vertAlign w:val="subscript"/>
        </w:rPr>
        <w:t xml:space="preserve">1</w:t>
      </w:r>
      <w:r>
        <w:t xml:space="preserve"> </w:t>
      </w:r>
      <w:r>
        <w:t xml:space="preserve">Reduce embryo survival and impair normal development</w:t>
      </w:r>
    </w:p>
    <w:p>
      <w:pPr>
        <w:pStyle w:val="BlockText"/>
      </w:pPr>
      <w:r>
        <w:rPr>
          <w:i/>
          <w:iCs/>
        </w:rPr>
        <w:t xml:space="preserve">H</w:t>
      </w:r>
      <w:r>
        <w:rPr>
          <w:i/>
          <w:iCs/>
          <w:vertAlign w:val="subscript"/>
        </w:rPr>
        <w:t xml:space="preserve">2</w:t>
      </w:r>
      <w:r>
        <w:t xml:space="preserve"> </w:t>
      </w:r>
      <w:r>
        <w:t xml:space="preserve">Alter gene expression in pathways required for early embryonic</w:t>
      </w:r>
      <w:r>
        <w:t xml:space="preserve"> </w:t>
      </w:r>
      <w:r>
        <w:t xml:space="preserve">development</w:t>
      </w:r>
    </w:p>
    <w:p>
      <w:pPr>
        <w:pStyle w:val="BlockText"/>
      </w:pPr>
      <w:r>
        <w:rPr>
          <w:i/>
          <w:iCs/>
        </w:rPr>
        <w:t xml:space="preserve">H</w:t>
      </w:r>
      <w:r>
        <w:rPr>
          <w:i/>
          <w:iCs/>
          <w:vertAlign w:val="subscript"/>
        </w:rPr>
        <w:t xml:space="preserve">3</w:t>
      </w:r>
      <w:r>
        <w:t xml:space="preserve"> </w:t>
      </w:r>
      <w:r>
        <w:t xml:space="preserve">Disrupt the microbiome community and microbial function</w:t>
      </w:r>
    </w:p>
    <w:p>
      <w:pPr>
        <w:pStyle w:val="FirstParagraph"/>
      </w:pPr>
      <w:r>
        <w:t xml:space="preserve">This study provides insight into how plastic-derived chemical pollution</w:t>
      </w:r>
      <w:r>
        <w:t xml:space="preserve"> </w:t>
      </w:r>
      <w:r>
        <w:t xml:space="preserve">may affect coral early life stages, a critical but under-explored phase</w:t>
      </w:r>
      <w:r>
        <w:t xml:space="preserve"> </w:t>
      </w:r>
      <w:r>
        <w:t xml:space="preserve">of reef resilience and recovery.</w:t>
      </w:r>
    </w:p>
    <w:bookmarkEnd w:id="13"/>
    <w:bookmarkStart w:id="45" w:name="methods"/>
    <w:p>
      <w:pPr>
        <w:pStyle w:val="Heading2"/>
      </w:pPr>
      <w:r>
        <w:t xml:space="preserve">Methods</w:t>
      </w:r>
    </w:p>
    <w:bookmarkStart w:id="18" w:name="Xc29393f20d033244b762244a15a78f2edebc53a"/>
    <w:p>
      <w:pPr>
        <w:pStyle w:val="Heading3"/>
      </w:pPr>
      <w:r>
        <w:t xml:space="preserve">Gamete collection and ecotoxicity assay exposure</w:t>
      </w:r>
    </w:p>
    <w:p>
      <w:pPr>
        <w:pStyle w:val="FirstParagraph"/>
      </w:pPr>
      <w:r>
        <w:t xml:space="preserve">The rice coral,</w:t>
      </w:r>
      <w:r>
        <w:t xml:space="preserve"> </w:t>
      </w:r>
      <w:r>
        <w:rPr>
          <w:i/>
          <w:iCs/>
        </w:rPr>
        <w:t xml:space="preserve">Montipora capitata</w:t>
      </w:r>
      <w:r>
        <w:t xml:space="preserve">, is an ecologically important reef</w:t>
      </w:r>
      <w:r>
        <w:t xml:space="preserve"> </w:t>
      </w:r>
      <w:r>
        <w:t xml:space="preserve">builder, and is a hermaphroditic synchronous split-spawner that releases</w:t>
      </w:r>
      <w:r>
        <w:t xml:space="preserve"> </w:t>
      </w:r>
      <w:r>
        <w:t xml:space="preserve">buoyant egg-sperm bundles during the summer months</w:t>
      </w:r>
      <w:r>
        <w:t xml:space="preserve"> </w:t>
      </w:r>
      <w:r>
        <w:t xml:space="preserve">(Padilla-Gamiño and Gates 2012)</w:t>
      </w:r>
      <w:r>
        <w:t xml:space="preserve">. In our study, we collected coral colonies on</w:t>
      </w:r>
      <w:r>
        <w:t xml:space="preserve"> </w:t>
      </w:r>
      <w:r>
        <w:t xml:space="preserve">June 30th, 2024 from Kāneʻohe Bay, on the east shore of Oʻahu, Hawaiʻi.</w:t>
      </w:r>
      <w:r>
        <w:t xml:space="preserve"> </w:t>
      </w:r>
      <w:r>
        <w:t xml:space="preserve">Kāneʻohe Bay is a 60 km</w:t>
      </w:r>
      <w:r>
        <w:rPr>
          <w:vertAlign w:val="superscript"/>
        </w:rPr>
        <w:t xml:space="preserve">2</w:t>
      </w:r>
      <w:r>
        <w:t xml:space="preserve"> </w:t>
      </w:r>
      <w:r>
        <w:t xml:space="preserve">embayment with several riverine inputs,</w:t>
      </w:r>
      <w:r>
        <w:t xml:space="preserve"> </w:t>
      </w:r>
      <w:r>
        <w:t xml:space="preserve">numerous fringing and patch reefs, and a large barrier coral reef</w:t>
      </w:r>
      <w:r>
        <w:t xml:space="preserve"> </w:t>
      </w:r>
      <w:r>
        <w:t xml:space="preserve">rimming it. Under the State of Hawai‘i Division of Aquatic Resources</w:t>
      </w:r>
      <w:r>
        <w:t xml:space="preserve"> </w:t>
      </w:r>
      <w:r>
        <w:t xml:space="preserve">Special Activities Permit 2024-35, we collected 20 genetically distinct</w:t>
      </w:r>
      <w:r>
        <w:t xml:space="preserve"> </w:t>
      </w:r>
      <w:r>
        <w:rPr>
          <w:i/>
          <w:iCs/>
        </w:rPr>
        <w:t xml:space="preserve">M. capitata</w:t>
      </w:r>
      <w:r>
        <w:t xml:space="preserve"> </w:t>
      </w:r>
      <w:r>
        <w:t xml:space="preserve">coral colonies (each approximately 30 cm in diameter) via</w:t>
      </w:r>
      <w:r>
        <w:t xml:space="preserve"> </w:t>
      </w:r>
      <w:r>
        <w:t xml:space="preserve">snorkel from Patch Reef #1 at 21.431619°N, 157.787127°W.</w:t>
      </w:r>
    </w:p>
    <w:tbl>
      <w:tblPr>
        <w:tblStyle w:val="Table"/>
        <w:tblW w:type="pct" w:w="5000"/>
        <w:tblLayout w:type="fixed"/>
        <w:tblLook w:firstRow="0" w:lastRow="0" w:firstColumn="0" w:lastColumn="0" w:noHBand="0" w:noVBand="0" w:val="0000"/>
      </w:tblPr>
      <w:tblGrid>
        <w:gridCol w:w="7920"/>
      </w:tblGrid>
      <w:tr>
        <w:tc>
          <w:tcPr/>
          <w:bookmarkStart w:id="17" w:name="fig-spawn-exp"/>
          <w:p>
            <w:pPr>
              <w:pStyle w:val="Compact"/>
              <w:jc w:val="center"/>
            </w:pPr>
            <w:r>
              <w:drawing>
                <wp:inline>
                  <wp:extent cx="5334000" cy="7334250"/>
                  <wp:effectExtent b="0" l="0" r="0" t="0"/>
                  <wp:docPr descr="" title="" id="15" name="Picture"/>
                  <a:graphic>
                    <a:graphicData uri="http://schemas.openxmlformats.org/drawingml/2006/picture">
                      <pic:pic>
                        <pic:nvPicPr>
                          <pic:cNvPr descr="figs/spawn-exp-design.png" id="16" name="Picture"/>
                          <pic:cNvPicPr>
                            <a:picLocks noChangeArrowheads="1" noChangeAspect="1"/>
                          </pic:cNvPicPr>
                        </pic:nvPicPr>
                        <pic:blipFill>
                          <a:blip r:embed="rId14"/>
                          <a:stretch>
                            <a:fillRect/>
                          </a:stretch>
                        </pic:blipFill>
                        <pic:spPr bwMode="auto">
                          <a:xfrm>
                            <a:off x="0" y="0"/>
                            <a:ext cx="5334000" cy="7334250"/>
                          </a:xfrm>
                          <a:prstGeom prst="rect">
                            <a:avLst/>
                          </a:prstGeom>
                          <a:noFill/>
                          <a:ln w="9525">
                            <a:noFill/>
                            <a:headEnd/>
                            <a:tailEnd/>
                          </a:ln>
                        </pic:spPr>
                      </pic:pic>
                    </a:graphicData>
                  </a:graphic>
                </wp:inline>
              </w:drawing>
            </w:r>
          </w:p>
          <w:p>
            <w:pPr>
              <w:jc w:val="center"/>
            </w:pPr>
            <w:pPr>
              <w:jc w:val="left"/>
              <w:spacing w:before="200"/>
              <w:pStyle w:val="ImageCaption"/>
            </w:pPr>
            <w:r>
              <w:t xml:space="preserve">Figure 2: Experimental overview of</w:t>
            </w:r>
            <w:r>
              <w:t xml:space="preserve"> </w:t>
            </w:r>
            <w:r>
              <w:rPr>
                <w:i/>
                <w:iCs/>
              </w:rPr>
              <w:t xml:space="preserve">Montipora capitata</w:t>
            </w:r>
            <w:r>
              <w:t xml:space="preserve"> </w:t>
            </w:r>
            <w:r>
              <w:t xml:space="preserve">early life-stage</w:t>
            </w:r>
            <w:r>
              <w:t xml:space="preserve"> </w:t>
            </w:r>
            <w:r>
              <w:t xml:space="preserve">exposure to PVC leachate. Schematic showing the reproductive biology and</w:t>
            </w:r>
            <w:r>
              <w:t xml:space="preserve"> </w:t>
            </w:r>
            <w:r>
              <w:t xml:space="preserve">experimental design used to obtain coral embryos and assess the effects</w:t>
            </w:r>
            <w:r>
              <w:t xml:space="preserve"> </w:t>
            </w:r>
            <w:r>
              <w:t xml:space="preserve">of plastic-derived leachates during early</w:t>
            </w:r>
            <w:r>
              <w:t xml:space="preserve"> </w:t>
            </w:r>
            <w:r>
              <w:t xml:space="preserve">development.</w:t>
            </w:r>
          </w:p>
          <w:bookmarkEnd w:id="17"/>
        </w:tc>
      </w:tr>
    </w:tbl>
    <w:p>
      <w:pPr>
        <w:pStyle w:val="BodyText"/>
      </w:pPr>
      <w:r>
        <w:t xml:space="preserve">Immediately after collection, the coral colonies were carefully</w:t>
      </w:r>
      <w:r>
        <w:t xml:space="preserve"> </w:t>
      </w:r>
      <w:r>
        <w:t xml:space="preserve">transported to the Hawaiʻi Institute of Marine Biology (HIMB), placed in</w:t>
      </w:r>
      <w:r>
        <w:t xml:space="preserve"> </w:t>
      </w:r>
      <w:r>
        <w:t xml:space="preserve">two large 650 L holding tanks with flow-through seawater, and allowed to</w:t>
      </w:r>
      <w:r>
        <w:t xml:space="preserve"> </w:t>
      </w:r>
      <w:r>
        <w:t xml:space="preserve">acclimate for 5 days prior to the spawning event during the new moon</w:t>
      </w:r>
      <w:r>
        <w:t xml:space="preserve"> </w:t>
      </w:r>
      <w:r>
        <w:t xml:space="preserve">(Padilla-Gamiño et al. 2011)</w:t>
      </w:r>
      <w:r>
        <w:t xml:space="preserve">. Egg-sperm bundles of</w:t>
      </w:r>
      <w:r>
        <w:t xml:space="preserve"> </w:t>
      </w:r>
      <w:r>
        <w:rPr>
          <w:i/>
          <w:iCs/>
        </w:rPr>
        <w:t xml:space="preserve">Montipora capitata</w:t>
      </w:r>
      <w:r>
        <w:t xml:space="preserve"> </w:t>
      </w:r>
      <w:r>
        <w:t xml:space="preserve">were</w:t>
      </w:r>
      <w:r>
        <w:t xml:space="preserve"> </w:t>
      </w:r>
      <w:r>
        <w:t xml:space="preserve">collected across three consecutive nights (5th, 6th, and 7th of July</w:t>
      </w:r>
      <w:r>
        <w:t xml:space="preserve"> </w:t>
      </w:r>
      <w:r>
        <w:t xml:space="preserve">2024, on the new moon and 2 days after). On each night prior to spawning</w:t>
      </w:r>
      <w:r>
        <w:t xml:space="preserve"> </w:t>
      </w:r>
      <w:r>
        <w:t xml:space="preserve">(~19:00 HST), coral colonies were isolated in individual 12-quart</w:t>
      </w:r>
      <w:r>
        <w:t xml:space="preserve"> </w:t>
      </w:r>
      <w:r>
        <w:t xml:space="preserve">(11.36 L) containers surrounded by a flow-through seawater bath to</w:t>
      </w:r>
      <w:r>
        <w:t xml:space="preserve"> </w:t>
      </w:r>
      <w:r>
        <w:t xml:space="preserve">maintain stable ambient seawater temperatures (26.3 ± 0.3 °C). Sixteen</w:t>
      </w:r>
      <w:r>
        <w:t xml:space="preserve"> </w:t>
      </w:r>
      <w:r>
        <w:t xml:space="preserve">out of the twenty parent colonies spawned over the three-day event</w:t>
      </w:r>
      <w:r>
        <w:t xml:space="preserve"> </w:t>
      </w:r>
      <w:r>
        <w:t xml:space="preserve">(</w:t>
      </w:r>
      <w:hyperlink w:anchor="fig-whowhenpool">
        <w:r>
          <w:rPr>
            <w:rStyle w:val="Hyperlink"/>
          </w:rPr>
          <w:t xml:space="preserve">Figure 17</w:t>
        </w:r>
      </w:hyperlink>
      <w:r>
        <w:t xml:space="preserve">). We collected egg-sperm bundles from spawning</w:t>
      </w:r>
      <w:r>
        <w:t xml:space="preserve"> </w:t>
      </w:r>
      <w:r>
        <w:t xml:space="preserve">colonies using transfer pipettes and deposited them into labeled 50 mL</w:t>
      </w:r>
      <w:r>
        <w:t xml:space="preserve"> </w:t>
      </w:r>
      <w:r>
        <w:t xml:space="preserve">Falcon tubes containing 30 mL of 0.22 μm-filtered seawater (FSW). In the</w:t>
      </w:r>
      <w:r>
        <w:t xml:space="preserve"> </w:t>
      </w:r>
      <w:r>
        <w:t xml:space="preserve">1-hour window after egg-sperm bundle release and before bundle breakup,</w:t>
      </w:r>
      <w:r>
        <w:t xml:space="preserve"> </w:t>
      </w:r>
      <w:r>
        <w:t xml:space="preserve">sperm release, and egg hydration, we performed controlled fertilizations</w:t>
      </w:r>
      <w:r>
        <w:t xml:space="preserve"> </w:t>
      </w:r>
      <w:r>
        <w:t xml:space="preserve">by combining one intact bundle from each of two genetically distinct</w:t>
      </w:r>
      <w:r>
        <w:t xml:space="preserve"> </w:t>
      </w:r>
      <w:r>
        <w:t xml:space="preserve">colonies in a bundle-bundle cross (</w:t>
      </w:r>
      <w:hyperlink w:anchor="fig-spawn-exp">
        <w:r>
          <w:rPr>
            <w:rStyle w:val="Hyperlink"/>
          </w:rPr>
          <w:t xml:space="preserve">Figure 2</w:t>
        </w:r>
      </w:hyperlink>
      <w:r>
        <w:t xml:space="preserve">). Only intact bundles</w:t>
      </w:r>
      <w:r>
        <w:t xml:space="preserve"> </w:t>
      </w:r>
      <w:r>
        <w:t xml:space="preserve">were used. Crosses were conducted in 20 mL scintillation vials</w:t>
      </w:r>
      <w:r>
        <w:t xml:space="preserve"> </w:t>
      </w:r>
      <w:r>
        <w:t xml:space="preserve">containing 20 mL of either 0.22 μm filtered seawater (control) or one of</w:t>
      </w:r>
      <w:r>
        <w:t xml:space="preserve"> </w:t>
      </w:r>
      <w:r>
        <w:t xml:space="preserve">the three PVC leachate treatments. Fertilized bundles were incubated on</w:t>
      </w:r>
      <w:r>
        <w:t xml:space="preserve"> </w:t>
      </w:r>
      <w:r>
        <w:t xml:space="preserve">a laboratory bench in the dark at 26.8 ± 0.3°C for either 4, 9, or 14</w:t>
      </w:r>
      <w:r>
        <w:t xml:space="preserve"> </w:t>
      </w:r>
      <w:r>
        <w:t xml:space="preserve">hours post-fertilization (hpf). In</w:t>
      </w:r>
      <w:r>
        <w:t xml:space="preserve"> </w:t>
      </w:r>
      <w:r>
        <w:rPr>
          <w:i/>
          <w:iCs/>
        </w:rPr>
        <w:t xml:space="preserve">Montipora capitata</w:t>
      </w:r>
      <w:r>
        <w:t xml:space="preserve">, these time</w:t>
      </w:r>
      <w:r>
        <w:t xml:space="preserve"> </w:t>
      </w:r>
      <w:r>
        <w:t xml:space="preserve">points correspond to key developmental stages: 4 hpf (initial cleavage</w:t>
      </w:r>
      <w:r>
        <w:t xml:space="preserve"> </w:t>
      </w:r>
      <w:hyperlink w:anchor="fig-mcap-dev">
        <w:r>
          <w:rPr>
            <w:rStyle w:val="Hyperlink"/>
          </w:rPr>
          <w:t xml:space="preserve">Figure 3</w:t>
        </w:r>
      </w:hyperlink>
      <w:r>
        <w:t xml:space="preserve"> </w:t>
      </w:r>
      <w:r>
        <w:t xml:space="preserve">B-D), 9 hpf (prawnchip stage</w:t>
      </w:r>
      <w:r>
        <w:t xml:space="preserve"> </w:t>
      </w:r>
      <w:hyperlink w:anchor="fig-mcap-dev">
        <w:r>
          <w:rPr>
            <w:rStyle w:val="Hyperlink"/>
          </w:rPr>
          <w:t xml:space="preserve">Figure 3</w:t>
        </w:r>
      </w:hyperlink>
      <w:r>
        <w:t xml:space="preserve"> </w:t>
      </w:r>
      <w:r>
        <w:t xml:space="preserve">K-N), and 14</w:t>
      </w:r>
      <w:r>
        <w:t xml:space="preserve"> </w:t>
      </w:r>
      <w:r>
        <w:t xml:space="preserve">hpf (early gastrulation</w:t>
      </w:r>
      <w:r>
        <w:t xml:space="preserve"> </w:t>
      </w:r>
      <w:hyperlink w:anchor="fig-mcap-dev">
        <w:r>
          <w:rPr>
            <w:rStyle w:val="Hyperlink"/>
          </w:rPr>
          <w:t xml:space="preserve">Figure 3</w:t>
        </w:r>
      </w:hyperlink>
      <w:r>
        <w:t xml:space="preserve"> </w:t>
      </w:r>
      <w:r>
        <w:t xml:space="preserve">O,P). The experiment included 4</w:t>
      </w:r>
      <w:r>
        <w:t xml:space="preserve"> </w:t>
      </w:r>
      <w:r>
        <w:t xml:space="preserve">PVC leachate levels and 3 developmental stages, and resulted in 300</w:t>
      </w:r>
      <w:r>
        <w:t xml:space="preserve"> </w:t>
      </w:r>
      <w:r>
        <w:t xml:space="preserve">individual bundle-bundle crosses (</w:t>
      </w:r>
      <w:hyperlink w:anchor="fig-spawn-exp">
        <w:r>
          <w:rPr>
            <w:rStyle w:val="Hyperlink"/>
          </w:rPr>
          <w:t xml:space="preserve">Figure 2</w:t>
        </w:r>
      </w:hyperlink>
      <w:r>
        <w:t xml:space="preserve">). A subset of 120</w:t>
      </w:r>
      <w:r>
        <w:t xml:space="preserve"> </w:t>
      </w:r>
      <w:r>
        <w:t xml:space="preserve">crosses (40 per stage) was fixed in 1.5 mL snap-cap micro-centrifuge</w:t>
      </w:r>
      <w:r>
        <w:t xml:space="preserve"> </w:t>
      </w:r>
      <w:r>
        <w:t xml:space="preserve">tubes with 1 mL of 4% Z-fix (Anatech Ltd.) for assessment of survival,</w:t>
      </w:r>
      <w:r>
        <w:t xml:space="preserve"> </w:t>
      </w:r>
      <w:r>
        <w:t xml:space="preserve">morphology, and developmental progression via microscopy. The remaining</w:t>
      </w:r>
      <w:r>
        <w:t xml:space="preserve"> </w:t>
      </w:r>
      <w:r>
        <w:t xml:space="preserve">180 crosses (60 per stage) were preserved in 500 μL of DNA/RNA</w:t>
      </w:r>
      <w:r>
        <w:t xml:space="preserve"> </w:t>
      </w:r>
      <w:r>
        <w:t xml:space="preserve">Shield</w:t>
      </w:r>
      <w:r>
        <w:rPr>
          <w:vertAlign w:val="superscript"/>
        </w:rPr>
        <w:t xml:space="preserve">TM</w:t>
      </w:r>
      <w:r>
        <w:t xml:space="preserve"> </w:t>
      </w:r>
      <w:r>
        <w:t xml:space="preserve">(Zymo Research, USA) and stored at -80°C for subsequent DNA</w:t>
      </w:r>
      <w:r>
        <w:t xml:space="preserve"> </w:t>
      </w:r>
      <w:r>
        <w:t xml:space="preserve">and RNA extraction to investigate microbial community composition and</w:t>
      </w:r>
      <w:r>
        <w:t xml:space="preserve"> </w:t>
      </w:r>
      <w:r>
        <w:t xml:space="preserve">gene expression responses.</w:t>
      </w:r>
    </w:p>
    <w:bookmarkEnd w:id="18"/>
    <w:bookmarkStart w:id="19" w:name="X6ae85995949e9410df021a8a2e58994c9936bf3"/>
    <w:p>
      <w:pPr>
        <w:pStyle w:val="Heading3"/>
      </w:pPr>
      <w:r>
        <w:t xml:space="preserve">PVC leachate preparation, dilution, and analysis</w:t>
      </w:r>
    </w:p>
    <w:p>
      <w:pPr>
        <w:pStyle w:val="FirstParagraph"/>
      </w:pPr>
      <w:r>
        <w:t xml:space="preserve">PVC microplastics were obtained following the procedure described by</w:t>
      </w:r>
      <w:r>
        <w:t xml:space="preserve"> </w:t>
      </w:r>
      <w:r>
        <w:t xml:space="preserve">Isa et al. (2024)</w:t>
      </w:r>
      <w:r>
        <w:t xml:space="preserve">. Briefly, PVC granulates ≤ 500 μm were obtained by grinding</w:t>
      </w:r>
      <w:r>
        <w:t xml:space="preserve"> </w:t>
      </w:r>
      <w:r>
        <w:t xml:space="preserve">PVC pellets, and polymer identity was confirmed by FTIR analysis (see</w:t>
      </w:r>
      <w:r>
        <w:t xml:space="preserve"> </w:t>
      </w:r>
      <w:r>
        <w:t xml:space="preserve">supplementary material X). The material was then subjected to artificial</w:t>
      </w:r>
      <w:r>
        <w:t xml:space="preserve"> </w:t>
      </w:r>
      <w:r>
        <w:t xml:space="preserve">weathering in a QUV accelerated weathering tester (Q-LAB, Saarbrucken,</w:t>
      </w:r>
      <w:r>
        <w:t xml:space="preserve"> </w:t>
      </w:r>
      <w:r>
        <w:t xml:space="preserve">Germany) using UV lamps at 340 nm, with 0,76 W m−2 nm−1. The aging test</w:t>
      </w:r>
      <w:r>
        <w:t xml:space="preserve"> </w:t>
      </w:r>
      <w:r>
        <w:t xml:space="preserve">was conducted at 65°C for a total time of 460 h. The total UV dose</w:t>
      </w:r>
      <w:r>
        <w:t xml:space="preserve"> </w:t>
      </w:r>
      <w:r>
        <w:t xml:space="preserve">administered (measured by a bolometer) was 170 MJ/m2. This dose roughly</w:t>
      </w:r>
      <w:r>
        <w:t xml:space="preserve"> </w:t>
      </w:r>
      <w:r>
        <w:t xml:space="preserve">corresponds to 10 months of outdoor exposure at 31°N latitude</w:t>
      </w:r>
      <w:r>
        <w:t xml:space="preserve"> </w:t>
      </w:r>
      <w:r>
        <w:t xml:space="preserve">(Isa et al. 2025)</w:t>
      </w:r>
      <w:r>
        <w:t xml:space="preserve"> </w:t>
      </w:r>
      <w:r>
        <w:t xml:space="preserve">to simulate photo-degradation processes experienced by</w:t>
      </w:r>
      <w:r>
        <w:t xml:space="preserve"> </w:t>
      </w:r>
      <w:r>
        <w:t xml:space="preserve">plastic debris in the marine environment.</w:t>
      </w:r>
    </w:p>
    <w:p>
      <w:pPr>
        <w:pStyle w:val="BodyText"/>
      </w:pPr>
      <w:r>
        <w:t xml:space="preserve">We prepared the PVC leachate by adding 250 mg of UV-weathered PVC</w:t>
      </w:r>
      <w:r>
        <w:t xml:space="preserve"> </w:t>
      </w:r>
      <w:r>
        <w:t xml:space="preserve">microplastics to 250 mL of 0.22 μm-filtered seawater (FSW) collected</w:t>
      </w:r>
      <w:r>
        <w:t xml:space="preserve"> </w:t>
      </w:r>
      <w:r>
        <w:t xml:space="preserve">from Kāneʻohe Bay in a 400 mL Erlenmeyer flask. The mixture was shaken</w:t>
      </w:r>
      <w:r>
        <w:t xml:space="preserve"> </w:t>
      </w:r>
      <w:r>
        <w:t xml:space="preserve">in a flask at 90 rpm in the dark for seven days. Following incubation,</w:t>
      </w:r>
      <w:r>
        <w:t xml:space="preserve"> </w:t>
      </w:r>
      <w:r>
        <w:t xml:space="preserve">microplastics were removed by filtration using a 0.22 μm cellulose fiber</w:t>
      </w:r>
      <w:r>
        <w:t xml:space="preserve"> </w:t>
      </w:r>
      <w:r>
        <w:t xml:space="preserve">filter, leaving a concentrated PVC leachate nominally equivalent to 1</w:t>
      </w:r>
      <w:r>
        <w:t xml:space="preserve"> </w:t>
      </w:r>
      <w:r>
        <w:t xml:space="preserve">g/L of PVC microplastics in seawater. This stock solution was then</w:t>
      </w:r>
      <w:r>
        <w:t xml:space="preserve"> </w:t>
      </w:r>
      <w:r>
        <w:t xml:space="preserve">serially diluted with 0.22 μm FSW to produce the experimental</w:t>
      </w:r>
      <w:r>
        <w:t xml:space="preserve"> </w:t>
      </w:r>
      <w:r>
        <w:t xml:space="preserve">treatments: 0.01 mg/L (low), 0.1 mg/L (moderate), and 1 mg/L (high) PVC</w:t>
      </w:r>
      <w:r>
        <w:t xml:space="preserve"> </w:t>
      </w:r>
      <w:r>
        <w:t xml:space="preserve">leachate. Stock solution leachates were chemically characterized by</w:t>
      </w:r>
      <w:r>
        <w:t xml:space="preserve"> </w:t>
      </w:r>
      <w:r>
        <w:t xml:space="preserve">GC-MS (full scan mode) and LC-MS/MS (MRM, multiple reaction monitoring</w:t>
      </w:r>
      <w:r>
        <w:t xml:space="preserve"> </w:t>
      </w:r>
      <w:r>
        <w:t xml:space="preserve">mode) following the method of</w:t>
      </w:r>
      <w:r>
        <w:t xml:space="preserve"> </w:t>
      </w:r>
      <w:r>
        <w:t xml:space="preserve">Saliu et al. (2020)</w:t>
      </w:r>
      <w:r>
        <w:t xml:space="preserve">. These analyses indicated</w:t>
      </w:r>
      <w:r>
        <w:t xml:space="preserve"> </w:t>
      </w:r>
      <w:r>
        <w:t xml:space="preserve">that the leachate contained phthalates at approximately 10% of the</w:t>
      </w:r>
      <w:r>
        <w:t xml:space="preserve"> </w:t>
      </w:r>
      <w:r>
        <w:t xml:space="preserve">original PVC microplastic mass concentration. So while our treatments</w:t>
      </w:r>
      <w:r>
        <w:t xml:space="preserve"> </w:t>
      </w:r>
      <w:r>
        <w:t xml:space="preserve">are characterized by the mass of PVC microplastic used to generate the</w:t>
      </w:r>
      <w:r>
        <w:t xml:space="preserve"> </w:t>
      </w:r>
      <w:r>
        <w:t xml:space="preserve">leachate, the concentrations of chemical additives, such as phthalates,</w:t>
      </w:r>
      <w:r>
        <w:t xml:space="preserve"> </w:t>
      </w:r>
      <w:r>
        <w:t xml:space="preserve">are estimated to be ~1 μg/L (low), ~10 μg/L (moderate), and ~100 μg/L</w:t>
      </w:r>
      <w:r>
        <w:t xml:space="preserve"> </w:t>
      </w:r>
      <w:r>
        <w:t xml:space="preserve">(high).</w:t>
      </w:r>
    </w:p>
    <w:p>
      <w:pPr>
        <w:pStyle w:val="BodyText"/>
      </w:pPr>
      <w:r>
        <w:t xml:space="preserve">Importantly, the selected exposure levels span reported environmental</w:t>
      </w:r>
      <w:r>
        <w:t xml:space="preserve"> </w:t>
      </w:r>
      <w:r>
        <w:t xml:space="preserve">concentrations of phthalates in coastal surface waters, which range from</w:t>
      </w:r>
      <w:r>
        <w:t xml:space="preserve"> </w:t>
      </w:r>
      <w:r>
        <w:t xml:space="preserve">0 (limit of detection, LOD) to 168 μg/L</w:t>
      </w:r>
      <w:r>
        <w:t xml:space="preserve"> </w:t>
      </w:r>
      <w:r>
        <w:t xml:space="preserve">(Mathieu and Bednarek 2022; Law et al. 1991; Hermabessiere et al. 2022; Paluselli et al. 2018; Net et al. 2015)</w:t>
      </w:r>
      <w:r>
        <w:t xml:space="preserve">, addressing a common</w:t>
      </w:r>
      <w:r>
        <w:t xml:space="preserve"> </w:t>
      </w:r>
      <w:r>
        <w:t xml:space="preserve">limitation of previous studies, which lack environmentally relevant</w:t>
      </w:r>
      <w:r>
        <w:t xml:space="preserve"> </w:t>
      </w:r>
      <w:r>
        <w:t xml:space="preserve">exposure levels</w:t>
      </w:r>
      <w:r>
        <w:t xml:space="preserve"> </w:t>
      </w:r>
      <w:r>
        <w:t xml:space="preserve">(Weis and Palmquist 2021)</w:t>
      </w:r>
      <w:r>
        <w:t xml:space="preserve">. Our PVC leachate treatments reflect the</w:t>
      </w:r>
      <w:r>
        <w:t xml:space="preserve"> </w:t>
      </w:r>
      <w:r>
        <w:t xml:space="preserve">full chemical mixture derived from UV-weathered PVC microplastics,</w:t>
      </w:r>
      <w:r>
        <w:t xml:space="preserve"> </w:t>
      </w:r>
      <w:r>
        <w:t xml:space="preserve">rather than exposure to individual additives. Due to analytical</w:t>
      </w:r>
      <w:r>
        <w:t xml:space="preserve"> </w:t>
      </w:r>
      <w:r>
        <w:t xml:space="preserve">limitations, exposure levels are reported as nominal values, consistent</w:t>
      </w:r>
      <w:r>
        <w:t xml:space="preserve"> </w:t>
      </w:r>
      <w:r>
        <w:t xml:space="preserve">with established practices in leachate toxicity studies</w:t>
      </w:r>
      <w:r>
        <w:t xml:space="preserve"> </w:t>
      </w:r>
      <w:r>
        <w:t xml:space="preserve">(Vered and Shenkar 2022; Tetu et al. 2019)</w:t>
      </w:r>
      <w:r>
        <w:t xml:space="preserve">.</w:t>
      </w:r>
    </w:p>
    <w:bookmarkEnd w:id="19"/>
    <w:bookmarkStart w:id="25" w:name="imaging-and-annotation"/>
    <w:p>
      <w:pPr>
        <w:pStyle w:val="Heading3"/>
      </w:pPr>
      <w:r>
        <w:t xml:space="preserve">Imaging and annotation</w:t>
      </w:r>
    </w:p>
    <w:p>
      <w:pPr>
        <w:pStyle w:val="FirstParagraph"/>
      </w:pPr>
      <w:r>
        <w:t xml:space="preserve">Embryos preserved in 4% Z-Fix (aqueous zinc-buffered formalin diluted in</w:t>
      </w:r>
      <w:r>
        <w:t xml:space="preserve"> </w:t>
      </w:r>
      <w:r>
        <w:t xml:space="preserve">0.22 μm FSW) were permanently mounted on microscope slides using</w:t>
      </w:r>
      <w:r>
        <w:t xml:space="preserve"> </w:t>
      </w:r>
      <w:r>
        <w:t xml:space="preserve">glycerol as a mounting medium. Imaging was conducted with a Nikon DS-Fi</w:t>
      </w:r>
      <w:r>
        <w:t xml:space="preserve"> </w:t>
      </w:r>
      <w:r>
        <w:t xml:space="preserve">3 camera attached to a Nikon Eclipse Ni-U manual microscope, and a</w:t>
      </w:r>
      <w:r>
        <w:t xml:space="preserve"> </w:t>
      </w:r>
      <w:r>
        <w:t xml:space="preserve">composite image for each slide was generated through manual stitching.</w:t>
      </w:r>
      <w:r>
        <w:t xml:space="preserve"> </w:t>
      </w:r>
      <w:r>
        <w:t xml:space="preserve">Images were analyzed using NIS-Elements BR software (version 5.02.01) to</w:t>
      </w:r>
      <w:r>
        <w:t xml:space="preserve"> </w:t>
      </w:r>
      <w:r>
        <w:t xml:space="preserve">quantify the total number of embryos per treatment vial. We determined</w:t>
      </w:r>
      <w:r>
        <w:t xml:space="preserve"> </w:t>
      </w:r>
      <w:r>
        <w:t xml:space="preserve">developmental stage reached of each embryo (egg, cleavage, morula,</w:t>
      </w:r>
      <w:r>
        <w:t xml:space="preserve"> </w:t>
      </w:r>
      <w:r>
        <w:t xml:space="preserve">prawnchip, or early gastrula), and noted any morphological deformities</w:t>
      </w:r>
      <w:r>
        <w:t xml:space="preserve"> </w:t>
      </w:r>
      <w:r>
        <w:t xml:space="preserve">or uncertainty due to fragmentation (typical, uncertain/torn,</w:t>
      </w:r>
      <w:r>
        <w:t xml:space="preserve"> </w:t>
      </w:r>
      <w:r>
        <w:t xml:space="preserve">malformed). We chose to annotate the morphology of a torn embryo as</w:t>
      </w:r>
      <w:r>
        <w:t xml:space="preserve"> </w:t>
      </w:r>
      <w:r>
        <w:t xml:space="preserve">uncertain, because coral embryos are known to continue developing even</w:t>
      </w:r>
      <w:r>
        <w:t xml:space="preserve"> </w:t>
      </w:r>
      <w:r>
        <w:t xml:space="preserve">after fragmentation in early embryonic development</w:t>
      </w:r>
      <w:r>
        <w:t xml:space="preserve"> </w:t>
      </w:r>
      <w:r>
        <w:t xml:space="preserve">(Heyward and Negri 2012)</w:t>
      </w:r>
      <w:r>
        <w:t xml:space="preserve">. At</w:t>
      </w:r>
      <w:r>
        <w:t xml:space="preserve"> </w:t>
      </w:r>
      <w:r>
        <w:t xml:space="preserve">4 hours post-fertilization (hpf), samples are expected to reach the</w:t>
      </w:r>
      <w:r>
        <w:t xml:space="preserve"> </w:t>
      </w:r>
      <w:r>
        <w:t xml:space="preserve">initial cleavage stage, characterized by the division of the fertilized</w:t>
      </w:r>
      <w:r>
        <w:t xml:space="preserve"> </w:t>
      </w:r>
      <w:r>
        <w:t xml:space="preserve">oocyte into two blastomeres</w:t>
      </w:r>
      <w:r>
        <w:t xml:space="preserve"> </w:t>
      </w:r>
      <w:r>
        <w:t xml:space="preserve">(Okubo et al. 2013)</w:t>
      </w:r>
      <w:r>
        <w:t xml:space="preserve">. At 9 hpf, embryos are</w:t>
      </w:r>
      <w:r>
        <w:t xml:space="preserve"> </w:t>
      </w:r>
      <w:r>
        <w:t xml:space="preserve">expected to reach the prawnchip phase, and at 14 hpf, coral embryos are</w:t>
      </w:r>
      <w:r>
        <w:t xml:space="preserve"> </w:t>
      </w:r>
      <w:r>
        <w:t xml:space="preserve">expected to reach the early gastrula stage</w:t>
      </w:r>
      <w:r>
        <w:t xml:space="preserve"> </w:t>
      </w:r>
      <w:r>
        <w:t xml:space="preserve">(Chille et al. 2022; Okubo et al. 2013)</w:t>
      </w:r>
      <w:r>
        <w:t xml:space="preserve">. Examples of normally developed</w:t>
      </w:r>
      <w:r>
        <w:t xml:space="preserve"> </w:t>
      </w:r>
      <w:r>
        <w:rPr>
          <w:i/>
          <w:iCs/>
        </w:rPr>
        <w:t xml:space="preserve">M. capitata</w:t>
      </w:r>
      <w:r>
        <w:t xml:space="preserve"> </w:t>
      </w:r>
      <w:r>
        <w:t xml:space="preserve">embryos are</w:t>
      </w:r>
      <w:r>
        <w:t xml:space="preserve"> </w:t>
      </w:r>
      <w:r>
        <w:t xml:space="preserve">shown in</w:t>
      </w:r>
      <w:r>
        <w:t xml:space="preserve"> </w:t>
      </w:r>
      <w:hyperlink w:anchor="fig-mcap-dev">
        <w:r>
          <w:rPr>
            <w:rStyle w:val="Hyperlink"/>
          </w:rPr>
          <w:t xml:space="preserve">Figure 3</w:t>
        </w:r>
      </w:hyperlink>
      <w:r>
        <w:t xml:space="preserve">. Our annotated images are available at</w:t>
      </w:r>
      <w:r>
        <w:t xml:space="preserve"> </w:t>
      </w:r>
      <w:hyperlink r:id="rId20">
        <w:r>
          <w:rPr>
            <w:rStyle w:val="Hyperlink"/>
          </w:rPr>
          <w:t xml:space="preserve">https://github.com/sarahtanja/coral-embryo-scope/tree/main/scope-images</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4" w:name="fig-mcap-dev"/>
          <w:p>
            <w:pPr>
              <w:pStyle w:val="Compact"/>
              <w:jc w:val="center"/>
            </w:pPr>
            <w:r>
              <w:drawing>
                <wp:inline>
                  <wp:extent cx="4587290" cy="4587290"/>
                  <wp:effectExtent b="0" l="0" r="0" t="0"/>
                  <wp:docPr descr="" title="" id="22" name="Picture"/>
                  <a:graphic>
                    <a:graphicData uri="http://schemas.openxmlformats.org/drawingml/2006/picture">
                      <pic:pic>
                        <pic:nvPicPr>
                          <pic:cNvPr descr="figs/mcap-dev.png" id="23" name="Picture"/>
                          <pic:cNvPicPr>
                            <a:picLocks noChangeArrowheads="1" noChangeAspect="1"/>
                          </pic:cNvPicPr>
                        </pic:nvPicPr>
                        <pic:blipFill>
                          <a:blip r:embed="rId21"/>
                          <a:stretch>
                            <a:fillRect/>
                          </a:stretch>
                        </pic:blipFill>
                        <pic:spPr bwMode="auto">
                          <a:xfrm>
                            <a:off x="0" y="0"/>
                            <a:ext cx="4587290" cy="4587290"/>
                          </a:xfrm>
                          <a:prstGeom prst="rect">
                            <a:avLst/>
                          </a:prstGeom>
                          <a:noFill/>
                          <a:ln w="9525">
                            <a:noFill/>
                            <a:headEnd/>
                            <a:tailEnd/>
                          </a:ln>
                        </pic:spPr>
                      </pic:pic>
                    </a:graphicData>
                  </a:graphic>
                </wp:inline>
              </w:drawing>
            </w:r>
          </w:p>
          <w:p>
            <w:pPr>
              <w:jc w:val="center"/>
            </w:pPr>
            <w:pPr>
              <w:jc w:val="left"/>
              <w:spacing w:before="200"/>
              <w:pStyle w:val="ImageCaption"/>
            </w:pPr>
            <w:r>
              <w:t xml:space="preserve">Figure 3: Developmental progression of</w:t>
            </w:r>
            <w:r>
              <w:t xml:space="preserve"> </w:t>
            </w:r>
            <w:r>
              <w:rPr>
                <w:i/>
                <w:iCs/>
              </w:rPr>
              <w:t xml:space="preserve">Montipora capitata</w:t>
            </w:r>
            <w:r>
              <w:t xml:space="preserve"> </w:t>
            </w:r>
            <w:r>
              <w:t xml:space="preserve">embryo from egg to</w:t>
            </w:r>
            <w:r>
              <w:t xml:space="preserve"> </w:t>
            </w:r>
            <w:r>
              <w:t xml:space="preserve">early gastrula during the first 14 hours post</w:t>
            </w:r>
            <w:r>
              <w:t xml:space="preserve"> </w:t>
            </w:r>
            <w:r>
              <w:t xml:space="preserve">fertilization.</w:t>
            </w:r>
          </w:p>
          <w:bookmarkEnd w:id="24"/>
        </w:tc>
      </w:tr>
    </w:tbl>
    <w:bookmarkEnd w:id="25"/>
    <w:bookmarkStart w:id="27" w:name="quantifying-relative-survival"/>
    <w:p>
      <w:pPr>
        <w:pStyle w:val="Heading3"/>
      </w:pPr>
      <w:r>
        <w:t xml:space="preserve">Quantifying relative survival</w:t>
      </w:r>
    </w:p>
    <w:p>
      <w:pPr>
        <w:pStyle w:val="FirstParagraph"/>
      </w:pPr>
      <w:r>
        <w:t xml:space="preserve">At the beginning of the experiment, each vial contained two gamete</w:t>
      </w:r>
      <w:r>
        <w:t xml:space="preserve"> </w:t>
      </w:r>
      <w:r>
        <w:t xml:space="preserve">bundles, corresponding to an average starting total of ~30 ± 6.4 eggs,</w:t>
      </w:r>
      <w:r>
        <w:t xml:space="preserve"> </w:t>
      </w:r>
      <w:r>
        <w:t xml:space="preserve">based on previously reported estimates of 8-23 eggs per bundle (mean=15,</w:t>
      </w:r>
      <w:r>
        <w:t xml:space="preserve"> </w:t>
      </w:r>
      <w:r>
        <w:t xml:space="preserve">SD=±5.1, SE=±0.3, [</w:t>
      </w:r>
      <w:r>
        <w:t xml:space="preserve">Padilla-Gamiño et al. (2011)</w:t>
      </w:r>
      <w:r>
        <w:t xml:space="preserve">;</w:t>
      </w:r>
      <w:r>
        <w:t xml:space="preserve"> </w:t>
      </w:r>
      <w:r>
        <w:t xml:space="preserve">Padilla-Gamiño and Gates (2012)</w:t>
      </w:r>
      <w:r>
        <w:t xml:space="preserve">; ]).</w:t>
      </w:r>
      <w:r>
        <w:t xml:space="preserve"> </w:t>
      </w:r>
      <w:r>
        <w:t xml:space="preserve">Viable embryos per vial at each time point were used as the response</w:t>
      </w:r>
      <w:r>
        <w:t xml:space="preserve"> </w:t>
      </w:r>
      <w:r>
        <w:t xml:space="preserve">variable. Embryos classified as ‘typical’ or ‘torn’ were considered</w:t>
      </w:r>
      <w:r>
        <w:t xml:space="preserve"> </w:t>
      </w:r>
      <w:r>
        <w:t xml:space="preserve">viable, while ‘malformed’ embryos were excluded from viable embryo</w:t>
      </w:r>
      <w:r>
        <w:t xml:space="preserve"> </w:t>
      </w:r>
      <w:r>
        <w:t xml:space="preserve">counts. Torn embryos were included because early coral embryos can</w:t>
      </w:r>
      <w:r>
        <w:t xml:space="preserve"> </w:t>
      </w:r>
      <w:r>
        <w:t xml:space="preserve">continue developing after fragmentation due to cellular totipotency</w:t>
      </w:r>
      <w:r>
        <w:t xml:space="preserve"> </w:t>
      </w:r>
      <w:r>
        <w:t xml:space="preserve">(Heyward and Negri 2012)</w:t>
      </w:r>
      <w:r>
        <w:t xml:space="preserve">. Eggs at 4 hpf were considered viable unless</w:t>
      </w:r>
      <w:r>
        <w:t xml:space="preserve"> </w:t>
      </w:r>
      <w:r>
        <w:t xml:space="preserve">malformed; by 9 and 14 hpf any remaining eggs that were unfertilized or</w:t>
      </w:r>
      <w:r>
        <w:t xml:space="preserve"> </w:t>
      </w:r>
      <w:r>
        <w:t xml:space="preserve">not developmentally progressing were classified as non-viable. Raw</w:t>
      </w:r>
      <w:r>
        <w:t xml:space="preserve"> </w:t>
      </w:r>
      <w:r>
        <w:t xml:space="preserve">counts were imported and pre-processed in R (v4.5.1) using the tidyverse</w:t>
      </w:r>
      <w:r>
        <w:t xml:space="preserve"> </w:t>
      </w:r>
      <w:r>
        <w:t xml:space="preserve">packages</w:t>
      </w:r>
      <w:r>
        <w:t xml:space="preserve"> </w:t>
      </w:r>
      <w:r>
        <w:t xml:space="preserve">(Wickham et al. 2019)</w:t>
      </w:r>
      <w:r>
        <w:t xml:space="preserve">. Treatment and time were coded as categorical</w:t>
      </w:r>
      <w:r>
        <w:t xml:space="preserve"> </w:t>
      </w:r>
      <w:r>
        <w:t xml:space="preserve">factors and were explicitly ordered. Survival was analyzed as the counts</w:t>
      </w:r>
      <w:r>
        <w:t xml:space="preserve"> </w:t>
      </w:r>
      <w:r>
        <w:t xml:space="preserve">of viable embryos at each time point. Distributions of viable embryo</w:t>
      </w:r>
      <w:r>
        <w:t xml:space="preserve"> </w:t>
      </w:r>
      <w:r>
        <w:t xml:space="preserve">counts were visualized using boxplots with beeswarm overlays, showing</w:t>
      </w:r>
      <w:r>
        <w:t xml:space="preserve"> </w:t>
      </w:r>
      <w:r>
        <w:t xml:space="preserve">individual vial-level observations across treatment × time combination</w:t>
      </w:r>
      <w:r>
        <w:t xml:space="preserve"> </w:t>
      </w:r>
      <w:r>
        <w:t xml:space="preserve">(</w:t>
      </w:r>
      <w:hyperlink w:anchor="fig-survival-timing-morph">
        <w:r>
          <w:rPr>
            <w:rStyle w:val="Hyperlink"/>
          </w:rPr>
          <w:t xml:space="preserve">Figure 4</w:t>
        </w:r>
      </w:hyperlink>
      <w:r>
        <w:t xml:space="preserve">). A two-way analysis of variance (ANOVA) was</w:t>
      </w:r>
      <w:r>
        <w:t xml:space="preserve"> </w:t>
      </w:r>
      <w:r>
        <w:t xml:space="preserve">used to test the effects of treatment, developmental time (hpf), and</w:t>
      </w:r>
      <w:r>
        <w:t xml:space="preserve"> </w:t>
      </w:r>
      <w:r>
        <w:t xml:space="preserve">their interaction on viable embryo counts. Model assumptions were</w:t>
      </w:r>
      <w:r>
        <w:t xml:space="preserve"> </w:t>
      </w:r>
      <w:r>
        <w:t xml:space="preserve">evaluated using residual Q-Q plots, the Shapiro–Wilk test for normality,</w:t>
      </w:r>
      <w:r>
        <w:t xml:space="preserve"> </w:t>
      </w:r>
      <w:r>
        <w:t xml:space="preserve">and Levene’s test for homogeneity of variances. All statistical tests</w:t>
      </w:r>
      <w:r>
        <w:t xml:space="preserve"> </w:t>
      </w:r>
      <w:r>
        <w:t xml:space="preserve">were two-tailed with α = 0.05. Data analysis for embryo survival is</w:t>
      </w:r>
      <w:r>
        <w:t xml:space="preserve"> </w:t>
      </w:r>
      <w:r>
        <w:t xml:space="preserve">available at</w:t>
      </w:r>
      <w:r>
        <w:t xml:space="preserve"> </w:t>
      </w:r>
      <w:hyperlink r:id="rId26">
        <w:r>
          <w:rPr>
            <w:rStyle w:val="Hyperlink"/>
          </w:rPr>
          <w:t xml:space="preserve">https://github.com/sarahtanja/coral-embryo-scope/blob/main/code/03_survival.md</w:t>
        </w:r>
      </w:hyperlink>
      <w:r>
        <w:t xml:space="preserve">.</w:t>
      </w:r>
    </w:p>
    <w:bookmarkEnd w:id="27"/>
    <w:bookmarkStart w:id="29" w:name="quantifying-developmental-timing"/>
    <w:p>
      <w:pPr>
        <w:pStyle w:val="Heading3"/>
      </w:pPr>
      <w:r>
        <w:t xml:space="preserve">Quantifying developmental timing</w:t>
      </w:r>
    </w:p>
    <w:p>
      <w:pPr>
        <w:pStyle w:val="FirstParagraph"/>
      </w:pPr>
      <w:r>
        <w:t xml:space="preserve">To assess if PVC leachate altered early embryonic developmental timing,</w:t>
      </w:r>
      <w:r>
        <w:t xml:space="preserve"> </w:t>
      </w:r>
      <w:r>
        <w:t xml:space="preserve">we quantified the number of embryos in five developmental stages—egg,</w:t>
      </w:r>
      <w:r>
        <w:t xml:space="preserve"> </w:t>
      </w:r>
      <w:r>
        <w:t xml:space="preserve">cleavage, morula, prawnchip, and early gastrula—for each sample. Because</w:t>
      </w:r>
      <w:r>
        <w:t xml:space="preserve"> </w:t>
      </w:r>
      <w:r>
        <w:t xml:space="preserve">these data are multivariate counts and exhibited overdispersion</w:t>
      </w:r>
      <w:r>
        <w:t xml:space="preserve"> </w:t>
      </w:r>
      <w:r>
        <w:t xml:space="preserve">(variance = 45.1, mean = 3.58), we used a multivariate generalized</w:t>
      </w:r>
      <w:r>
        <w:t xml:space="preserve"> </w:t>
      </w:r>
      <w:r>
        <w:t xml:space="preserve">linear model (GLM) implemented in the mvabund package (mvabund_4.2.1,</w:t>
      </w:r>
      <w:r>
        <w:t xml:space="preserve"> </w:t>
      </w:r>
      <w:r>
        <w:t xml:space="preserve">function manyglm;</w:t>
      </w:r>
      <w:r>
        <w:t xml:space="preserve"> </w:t>
      </w:r>
      <w:r>
        <w:t xml:space="preserve">Wang et al. (2012)</w:t>
      </w:r>
      <w:r>
        <w:t xml:space="preserve"> </w:t>
      </w:r>
      <w:r>
        <w:t xml:space="preserve">). Counts of developmental stages were</w:t>
      </w:r>
      <w:r>
        <w:t xml:space="preserve"> </w:t>
      </w:r>
      <w:r>
        <w:t xml:space="preserve">modeled simultaneously as a multivariate response (Y ~ treatment *</w:t>
      </w:r>
      <w:r>
        <w:t xml:space="preserve"> </w:t>
      </w:r>
      <w:r>
        <w:t xml:space="preserve">hpf) using a negative binomial error distribution, with the log of the</w:t>
      </w:r>
      <w:r>
        <w:t xml:space="preserve"> </w:t>
      </w:r>
      <w:r>
        <w:t xml:space="preserve">embryo counts in each sample as an offset term. The offset term ensures</w:t>
      </w:r>
      <w:r>
        <w:t xml:space="preserve"> </w:t>
      </w:r>
      <w:r>
        <w:t xml:space="preserve">that the model captures shifts in the ratios of stages rather than in</w:t>
      </w:r>
      <w:r>
        <w:t xml:space="preserve"> </w:t>
      </w:r>
      <w:r>
        <w:t xml:space="preserve">absolute counts for each developmental stage. The full dataset was</w:t>
      </w:r>
      <w:r>
        <w:t xml:space="preserve"> </w:t>
      </w:r>
      <w:r>
        <w:t xml:space="preserve">analyzed as a single multivariate response matrix, allowing us to detect</w:t>
      </w:r>
      <w:r>
        <w:t xml:space="preserve"> </w:t>
      </w:r>
      <w:r>
        <w:t xml:space="preserve">both overall shifts in development and stage-specific responses. Model</w:t>
      </w:r>
      <w:r>
        <w:t xml:space="preserve"> </w:t>
      </w:r>
      <w:r>
        <w:t xml:space="preserve">significance was assessed using PIT-trap resampling with 999 iterations,</w:t>
      </w:r>
      <w:r>
        <w:t xml:space="preserve"> </w:t>
      </w:r>
      <w:r>
        <w:t xml:space="preserve">which provides robust p-value estimation under non-normal residual</w:t>
      </w:r>
      <w:r>
        <w:t xml:space="preserve"> </w:t>
      </w:r>
      <w:r>
        <w:t xml:space="preserve">structure. We report multivariate test statistics (evaluating changes in</w:t>
      </w:r>
      <w:r>
        <w:t xml:space="preserve"> </w:t>
      </w:r>
      <w:r>
        <w:t xml:space="preserve">developmental stage across treatments and time) and univariate tests for</w:t>
      </w:r>
      <w:r>
        <w:t xml:space="preserve"> </w:t>
      </w:r>
      <w:r>
        <w:t xml:space="preserve">each stage. Significance of main effects and interaction terms was</w:t>
      </w:r>
      <w:r>
        <w:t xml:space="preserve"> </w:t>
      </w:r>
      <w:r>
        <w:t xml:space="preserve">assessed using Analysis of Deviance (Type I tests). All analyses were</w:t>
      </w:r>
      <w:r>
        <w:t xml:space="preserve"> </w:t>
      </w:r>
      <w:r>
        <w:t xml:space="preserve">performed in R (v4.5.1) with α = 0.05. The R code used for the</w:t>
      </w:r>
      <w:r>
        <w:t xml:space="preserve"> </w:t>
      </w:r>
      <w:r>
        <w:t xml:space="preserve">developmental timing analysis is available at</w:t>
      </w:r>
      <w:r>
        <w:t xml:space="preserve"> </w:t>
      </w:r>
      <w:hyperlink r:id="rId28">
        <w:r>
          <w:rPr>
            <w:rStyle w:val="Hyperlink"/>
          </w:rPr>
          <w:t xml:space="preserve">https://github.com/sarahtanja/coral-embryo-scope/blob/main/code/04_timing.md</w:t>
        </w:r>
      </w:hyperlink>
      <w:r>
        <w:t xml:space="preserve"> </w:t>
      </w:r>
      <w:r>
        <w:t xml:space="preserve">.</w:t>
      </w:r>
    </w:p>
    <w:bookmarkEnd w:id="29"/>
    <w:bookmarkStart w:id="31" w:name="quantifying-morphological-abnormality"/>
    <w:p>
      <w:pPr>
        <w:pStyle w:val="Heading3"/>
      </w:pPr>
      <w:r>
        <w:t xml:space="preserve">Quantifying morphological abnormality</w:t>
      </w:r>
    </w:p>
    <w:p>
      <w:pPr>
        <w:pStyle w:val="FirstParagraph"/>
      </w:pPr>
      <w:r>
        <w:t xml:space="preserve">Similarly to developmental timing, we analyzed morphological status</w:t>
      </w:r>
      <w:r>
        <w:t xml:space="preserve"> </w:t>
      </w:r>
      <w:r>
        <w:t xml:space="preserve">using a multivariate generalized linear model (GLM). We tested whether</w:t>
      </w:r>
      <w:r>
        <w:t xml:space="preserve"> </w:t>
      </w:r>
      <w:r>
        <w:t xml:space="preserve">PVC leachate altered the counts of embryos classified as typical,</w:t>
      </w:r>
      <w:r>
        <w:t xml:space="preserve"> </w:t>
      </w:r>
      <w:r>
        <w:t xml:space="preserve">uncertain (torn), or malformed across developmental time. For each</w:t>
      </w:r>
      <w:r>
        <w:t xml:space="preserve"> </w:t>
      </w:r>
      <w:r>
        <w:t xml:space="preserve">sample, embryo counts were grouped into these three categories. Because</w:t>
      </w:r>
      <w:r>
        <w:t xml:space="preserve"> </w:t>
      </w:r>
      <w:r>
        <w:t xml:space="preserve">the data were overdispersed (variance = 76.5, mean = 5.97), we specified</w:t>
      </w:r>
      <w:r>
        <w:t xml:space="preserve"> </w:t>
      </w:r>
      <w:r>
        <w:t xml:space="preserve">a negative binomial error distribution. To account for changes in embryo</w:t>
      </w:r>
      <w:r>
        <w:t xml:space="preserve"> </w:t>
      </w:r>
      <w:r>
        <w:t xml:space="preserve">counts due to survival, we included the log of the embryo counts in each</w:t>
      </w:r>
      <w:r>
        <w:t xml:space="preserve"> </w:t>
      </w:r>
      <w:r>
        <w:t xml:space="preserve">sample as an offset term. The multivariate response matrix (Y) included</w:t>
      </w:r>
      <w:r>
        <w:t xml:space="preserve"> </w:t>
      </w:r>
      <w:r>
        <w:t xml:space="preserve">counts of typical, uncertain (torn), and malformed embryos. The model</w:t>
      </w:r>
      <w:r>
        <w:t xml:space="preserve"> </w:t>
      </w:r>
      <w:r>
        <w:t xml:space="preserve">tested the effects of treatment, developmental time, and their</w:t>
      </w:r>
      <w:r>
        <w:t xml:space="preserve"> </w:t>
      </w:r>
      <w:r>
        <w:t xml:space="preserve">interaction (Y ~ treatment * hpf). The R code and our analysis for</w:t>
      </w:r>
      <w:r>
        <w:t xml:space="preserve"> </w:t>
      </w:r>
      <w:r>
        <w:t xml:space="preserve">morphological abnormality are available at</w:t>
      </w:r>
      <w:r>
        <w:t xml:space="preserve"> </w:t>
      </w:r>
      <w:hyperlink r:id="rId30">
        <w:r>
          <w:rPr>
            <w:rStyle w:val="Hyperlink"/>
          </w:rPr>
          <w:t xml:space="preserve">https://github.com/sarahtanja/coral-embryo-scope/blob/main/code/05_abnormality.md</w:t>
        </w:r>
      </w:hyperlink>
      <w:r>
        <w:t xml:space="preserve">.</w:t>
      </w:r>
    </w:p>
    <w:bookmarkEnd w:id="31"/>
    <w:bookmarkStart w:id="32" w:name="dnarna-extractions-and-quantification"/>
    <w:p>
      <w:pPr>
        <w:pStyle w:val="Heading3"/>
      </w:pPr>
      <w:r>
        <w:t xml:space="preserve">DNA/RNA extractions and quantification</w:t>
      </w:r>
    </w:p>
    <w:p>
      <w:pPr>
        <w:pStyle w:val="FirstParagraph"/>
      </w:pPr>
      <w:r>
        <w:t xml:space="preserve">At each developmental endpoint (4, 9 and 14 hpf), coral embryos were</w:t>
      </w:r>
      <w:r>
        <w:t xml:space="preserve"> </w:t>
      </w:r>
      <w:r>
        <w:t xml:space="preserve">transferred from exposure vials to 2 mL microcentrifuge tubes, preserved</w:t>
      </w:r>
      <w:r>
        <w:t xml:space="preserve"> </w:t>
      </w:r>
      <w:r>
        <w:t xml:space="preserve">in DNA/RNA Shield</w:t>
      </w:r>
      <w:r>
        <w:rPr>
          <w:vertAlign w:val="superscript"/>
        </w:rPr>
        <w:t xml:space="preserve">TM</w:t>
      </w:r>
      <w:r>
        <w:t xml:space="preserve"> </w:t>
      </w:r>
      <w:r>
        <w:t xml:space="preserve">(Zymo Research, USA), and stored at -80°C. DNA and</w:t>
      </w:r>
      <w:r>
        <w:t xml:space="preserve"> </w:t>
      </w:r>
      <w:r>
        <w:t xml:space="preserve">RNA were extracted simultaneously from the same pooled samples using the</w:t>
      </w:r>
      <w:r>
        <w:t xml:space="preserve"> </w:t>
      </w:r>
      <w:r>
        <w:t xml:space="preserve">Quick-DNA/RNA</w:t>
      </w:r>
      <w:r>
        <w:rPr>
          <w:vertAlign w:val="superscript"/>
        </w:rPr>
        <w:t xml:space="preserve">TM</w:t>
      </w:r>
      <w:r>
        <w:t xml:space="preserve"> </w:t>
      </w:r>
      <w:r>
        <w:t xml:space="preserve">Miniprep Plus Kit (Zymo Research, USA). Samples of</w:t>
      </w:r>
      <w:r>
        <w:t xml:space="preserve"> </w:t>
      </w:r>
      <w:r>
        <w:t xml:space="preserve">embryos in DNA/RNA Shield</w:t>
      </w:r>
      <w:r>
        <w:rPr>
          <w:vertAlign w:val="superscript"/>
        </w:rPr>
        <w:t xml:space="preserve">TM</w:t>
      </w:r>
      <w:r>
        <w:t xml:space="preserve"> </w:t>
      </w:r>
      <w:r>
        <w:t xml:space="preserve">were thawed to room temperature and pooled</w:t>
      </w:r>
      <w:r>
        <w:t xml:space="preserve"> </w:t>
      </w:r>
      <w:r>
        <w:t xml:space="preserve">with up to three coral colony crosses from the same treatment group to</w:t>
      </w:r>
      <w:r>
        <w:t xml:space="preserve"> </w:t>
      </w:r>
      <w:r>
        <w:t xml:space="preserve">achieve sufficient DNA/RNA yield (pooled sample structure is shown in</w:t>
      </w:r>
      <w:r>
        <w:t xml:space="preserve"> </w:t>
      </w:r>
      <w:hyperlink w:anchor="fig-whowhenpool">
        <w:r>
          <w:rPr>
            <w:rStyle w:val="Hyperlink"/>
          </w:rPr>
          <w:t xml:space="preserve">Figure 17</w:t>
        </w:r>
      </w:hyperlink>
      <w:r>
        <w:t xml:space="preserve">). Samples were pooled in ZR BashingBead Lysis Tubes</w:t>
      </w:r>
      <w:r>
        <w:rPr>
          <w:vertAlign w:val="superscript"/>
        </w:rPr>
        <w:t xml:space="preserve">TM</w:t>
      </w:r>
      <w:r>
        <w:t xml:space="preserve"> </w:t>
      </w:r>
      <w:r>
        <w:t xml:space="preserve">(0.1 and 0.5 mm) (Zymo Research, USA) and homogenized for 10 minutes</w:t>
      </w:r>
      <w:r>
        <w:t xml:space="preserve"> </w:t>
      </w:r>
      <w:r>
        <w:t xml:space="preserve">using a Mortexer. Extraction and purification steps followed the</w:t>
      </w:r>
      <w:r>
        <w:t xml:space="preserve"> </w:t>
      </w:r>
      <w:r>
        <w:t xml:space="preserve">manufacturer’s cell preparation protocol, but skipped the proteinase-K</w:t>
      </w:r>
      <w:r>
        <w:t xml:space="preserve"> </w:t>
      </w:r>
      <w:r>
        <w:t xml:space="preserve">digestion step. Purified total RNA was quantified using a Qubit-4</w:t>
      </w:r>
      <w:r>
        <w:t xml:space="preserve"> </w:t>
      </w:r>
      <w:r>
        <w:t xml:space="preserve">Fluorometer with the RNA High Sensitivity Assay Kit (ThermoFisher, USA)</w:t>
      </w:r>
      <w:r>
        <w:t xml:space="preserve"> </w:t>
      </w:r>
      <w:r>
        <w:t xml:space="preserve">and shipped on dry ice to Azenta Life Sciences for library preparation</w:t>
      </w:r>
      <w:r>
        <w:t xml:space="preserve"> </w:t>
      </w:r>
      <w:r>
        <w:t xml:space="preserve">with Poly(A) selection. DNA was similarly quantified using the dsDNA</w:t>
      </w:r>
      <w:r>
        <w:t xml:space="preserve"> </w:t>
      </w:r>
      <w:r>
        <w:t xml:space="preserve">Broad Range (BR) Assay Kit (ThermoFisher, USA) according to the</w:t>
      </w:r>
      <w:r>
        <w:t xml:space="preserve"> </w:t>
      </w:r>
      <w:r>
        <w:t xml:space="preserve">manufacturer’s protocol. This resulted in 63 pooled samples from which</w:t>
      </w:r>
      <w:r>
        <w:t xml:space="preserve"> </w:t>
      </w:r>
      <w:r>
        <w:t xml:space="preserve">both DNA and RNA were extracted. These samples are paired, i.e. DNA and</w:t>
      </w:r>
      <w:r>
        <w:t xml:space="preserve"> </w:t>
      </w:r>
      <w:r>
        <w:t xml:space="preserve">RNA was extracted from the same embryos for each of the 63 pooled</w:t>
      </w:r>
      <w:r>
        <w:t xml:space="preserve"> </w:t>
      </w:r>
      <w:r>
        <w:t xml:space="preserve">samples. Each pooled sample represents genetic variation from up to six</w:t>
      </w:r>
      <w:r>
        <w:t xml:space="preserve"> </w:t>
      </w:r>
      <w:r>
        <w:t xml:space="preserve">parent colonies (</w:t>
      </w:r>
      <w:hyperlink w:anchor="fig-whowhenpool">
        <w:r>
          <w:rPr>
            <w:rStyle w:val="Hyperlink"/>
          </w:rPr>
          <w:t xml:space="preserve">Figure 17</w:t>
        </w:r>
      </w:hyperlink>
      <w:r>
        <w:t xml:space="preserve">).</w:t>
      </w:r>
    </w:p>
    <w:bookmarkEnd w:id="32"/>
    <w:bookmarkStart w:id="38" w:name="X1a88f3373affc74e4a017c1238bd7a0b111990f"/>
    <w:p>
      <w:pPr>
        <w:pStyle w:val="Heading3"/>
      </w:pPr>
      <w:r>
        <w:t xml:space="preserve">Transcriptomics (RNA library prep, sequencing, processing, and analysis)</w:t>
      </w:r>
    </w:p>
    <w:bookmarkStart w:id="33" w:name="rna-library-preparation-and-sequencing"/>
    <w:p>
      <w:pPr>
        <w:pStyle w:val="Heading4"/>
      </w:pPr>
      <w:r>
        <w:t xml:space="preserve">RNA library preparation, and sequencing</w:t>
      </w:r>
    </w:p>
    <w:p>
      <w:pPr>
        <w:pStyle w:val="FirstParagraph"/>
      </w:pPr>
      <w:r>
        <w:t xml:space="preserve">Our 63 pooled samples of total purified RNA were processed for library</w:t>
      </w:r>
      <w:r>
        <w:t xml:space="preserve"> </w:t>
      </w:r>
      <w:r>
        <w:t xml:space="preserve">preparation and sequencing (Azenta Life Sciences). Libraries were</w:t>
      </w:r>
      <w:r>
        <w:t xml:space="preserve"> </w:t>
      </w:r>
      <w:r>
        <w:t xml:space="preserve">prepared using Poly(A) selection to target eukaryotic mRNA, with a</w:t>
      </w:r>
      <w:r>
        <w:t xml:space="preserve"> </w:t>
      </w:r>
      <w:r>
        <w:t xml:space="preserve">sequencing depth of 20 million paired-end reads per sample. Sequencing</w:t>
      </w:r>
      <w:r>
        <w:t xml:space="preserve"> </w:t>
      </w:r>
      <w:r>
        <w:t xml:space="preserve">was performed on an Illumina NovaSeq X+ platform (x150bp). Raw</w:t>
      </w:r>
      <w:r>
        <w:t xml:space="preserve"> </w:t>
      </w:r>
      <w:r>
        <w:t xml:space="preserve">paired-end reads (FASTQ format) were submitted to the National Center</w:t>
      </w:r>
      <w:r>
        <w:t xml:space="preserve"> </w:t>
      </w:r>
      <w:r>
        <w:t xml:space="preserve">for Biotechnology Information (NCBI) Sequence Read Archive (SRA) under</w:t>
      </w:r>
      <w:r>
        <w:t xml:space="preserve"> </w:t>
      </w:r>
      <w:r>
        <w:t xml:space="preserve">BioProject accession number PRJNA1177827.</w:t>
      </w:r>
    </w:p>
    <w:bookmarkEnd w:id="33"/>
    <w:bookmarkStart w:id="35" w:name="X4ece8075070750ac76097c30720fe22f10c31df"/>
    <w:p>
      <w:pPr>
        <w:pStyle w:val="Heading4"/>
      </w:pPr>
      <w:r>
        <w:t xml:space="preserve">Quality checks, alignment, and gene count matrix generation</w:t>
      </w:r>
    </w:p>
    <w:p>
      <w:pPr>
        <w:pStyle w:val="FirstParagraph"/>
      </w:pPr>
      <w:r>
        <w:t xml:space="preserve">Raw paired-end FASTQ files were checked for quality with FastQC</w:t>
      </w:r>
      <w:r>
        <w:t xml:space="preserve"> </w:t>
      </w:r>
      <w:r>
        <w:t xml:space="preserve">(v0.12.1) and summarized using MultiQC (v1.14)</w:t>
      </w:r>
      <w:r>
        <w:t xml:space="preserve"> </w:t>
      </w:r>
      <w:r>
        <w:t xml:space="preserve">(Ewels et al. 2016)</w:t>
      </w:r>
      <w:r>
        <w:t xml:space="preserve">. Adapter</w:t>
      </w:r>
      <w:r>
        <w:t xml:space="preserve"> </w:t>
      </w:r>
      <w:r>
        <w:t xml:space="preserve">sequences were trimmed, and sequences were pre-processed with fastp</w:t>
      </w:r>
      <w:r>
        <w:t xml:space="preserve"> </w:t>
      </w:r>
      <w:r>
        <w:t xml:space="preserve">(v0.23.2)</w:t>
      </w:r>
      <w:r>
        <w:t xml:space="preserve"> </w:t>
      </w:r>
      <w:r>
        <w:t xml:space="preserve">(Chen 2023)</w:t>
      </w:r>
      <w:r>
        <w:t xml:space="preserve">using automatic adapter detection for paired-end</w:t>
      </w:r>
      <w:r>
        <w:t xml:space="preserve"> </w:t>
      </w:r>
      <w:r>
        <w:t xml:space="preserve">data, a phred quality score threshold of 30, removal of polyX tails ≥6</w:t>
      </w:r>
      <w:r>
        <w:t xml:space="preserve"> </w:t>
      </w:r>
      <w:r>
        <w:t xml:space="preserve">bp, and fixed trimming of 10 bp from the 5′ end of both forward and</w:t>
      </w:r>
      <w:r>
        <w:t xml:space="preserve"> </w:t>
      </w:r>
      <w:r>
        <w:t xml:space="preserve">reverse reads. Trimmed reads were aligned to the</w:t>
      </w:r>
      <w:r>
        <w:t xml:space="preserve"> </w:t>
      </w:r>
      <w:r>
        <w:rPr>
          <w:i/>
          <w:iCs/>
        </w:rPr>
        <w:t xml:space="preserve">M. capitata</w:t>
      </w:r>
      <w:r>
        <w:t xml:space="preserve"> </w:t>
      </w:r>
      <w:r>
        <w:t xml:space="preserve">reference</w:t>
      </w:r>
      <w:r>
        <w:t xml:space="preserve"> </w:t>
      </w:r>
      <w:r>
        <w:t xml:space="preserve">genome (HIv3; Rutgers Coral Genome Project</w:t>
      </w:r>
      <w:r>
        <w:t xml:space="preserve"> </w:t>
      </w:r>
      <w:r>
        <w:t xml:space="preserve">(Stephens et al. 2022)</w:t>
      </w:r>
      <w:r>
        <w:t xml:space="preserve">) using</w:t>
      </w:r>
      <w:r>
        <w:t xml:space="preserve"> </w:t>
      </w:r>
      <w:r>
        <w:t xml:space="preserve">HISAT2 (v2.2.1)</w:t>
      </w:r>
      <w:r>
        <w:t xml:space="preserve"> </w:t>
      </w:r>
      <w:r>
        <w:t xml:space="preserve">(Kim et al. 2019)</w:t>
      </w:r>
      <w:r>
        <w:t xml:space="preserve"> </w:t>
      </w:r>
      <w:r>
        <w:t xml:space="preserve">with splice-aware alignment. Exon</w:t>
      </w:r>
      <w:r>
        <w:t xml:space="preserve"> </w:t>
      </w:r>
      <w:r>
        <w:t xml:space="preserve">coordinates and splice junctions were extracted from the genome</w:t>
      </w:r>
      <w:r>
        <w:t xml:space="preserve"> </w:t>
      </w:r>
      <w:r>
        <w:t xml:space="preserve">annotation file (GTF) with HISAT2 helper scripts provided during</w:t>
      </w:r>
      <w:r>
        <w:t xml:space="preserve"> </w:t>
      </w:r>
      <w:r>
        <w:t xml:space="preserve">alignment to improve mapping across intron–exon boundaries. The</w:t>
      </w:r>
      <w:r>
        <w:t xml:space="preserve"> </w:t>
      </w:r>
      <w:r>
        <w:t xml:space="preserve">resulting SAM files were converted to sorted and indexed BAM files using</w:t>
      </w:r>
      <w:r>
        <w:t xml:space="preserve"> </w:t>
      </w:r>
      <w:r>
        <w:t xml:space="preserve">SAMtools (v1.12)</w:t>
      </w:r>
      <w:r>
        <w:t xml:space="preserve"> </w:t>
      </w:r>
      <w:r>
        <w:t xml:space="preserve">(Danecek et al. 2021)</w:t>
      </w:r>
      <w:r>
        <w:t xml:space="preserve">. Transcript assembly and abundance</w:t>
      </w:r>
      <w:r>
        <w:t xml:space="preserve"> </w:t>
      </w:r>
      <w:r>
        <w:t xml:space="preserve">estimation were performed with StringTie (v2.2.1)</w:t>
      </w:r>
      <w:r>
        <w:t xml:space="preserve">(Pertea et al. 2015)</w:t>
      </w:r>
      <w:r>
        <w:t xml:space="preserve">,</w:t>
      </w:r>
      <w:r>
        <w:t xml:space="preserve"> </w:t>
      </w:r>
      <w:r>
        <w:t xml:space="preserve">guided by the reference annotation (GFF3). A gene count matrix (genes x</w:t>
      </w:r>
      <w:r>
        <w:t xml:space="preserve"> </w:t>
      </w:r>
      <w:r>
        <w:t xml:space="preserve">samples) was generated using the StringTie helper script prepDE.py3,</w:t>
      </w:r>
      <w:r>
        <w:t xml:space="preserve"> </w:t>
      </w:r>
      <w:r>
        <w:t xml:space="preserve">enabling downstream differential expression analysis. The</w:t>
      </w:r>
      <w:r>
        <w:t xml:space="preserve"> </w:t>
      </w:r>
      <w:r>
        <w:t xml:space="preserve">quality-assurance, quality-check (QAQC) and alignment R code can be</w:t>
      </w:r>
      <w:r>
        <w:t xml:space="preserve"> </w:t>
      </w:r>
      <w:r>
        <w:t xml:space="preserve">viewed at</w:t>
      </w:r>
      <w:r>
        <w:t xml:space="preserve"> </w:t>
      </w:r>
      <w:hyperlink r:id="rId34">
        <w:r>
          <w:rPr>
            <w:rStyle w:val="Hyperlink"/>
          </w:rPr>
          <w:t xml:space="preserve">https://github.com/sarahtanja/coral-embryo-RNAseq/tree/main/code</w:t>
        </w:r>
      </w:hyperlink>
      <w:r>
        <w:t xml:space="preserve">.</w:t>
      </w:r>
    </w:p>
    <w:bookmarkEnd w:id="35"/>
    <w:bookmarkStart w:id="36" w:name="X75391eb2cc58a1274d253a200a1139f61841000"/>
    <w:p>
      <w:pPr>
        <w:pStyle w:val="Heading4"/>
      </w:pPr>
      <w:r>
        <w:t xml:space="preserve">Differential gene expression analysis with DESeq2</w:t>
      </w:r>
    </w:p>
    <w:p>
      <w:pPr>
        <w:pStyle w:val="FirstParagraph"/>
      </w:pPr>
      <w:r>
        <w:t xml:space="preserve">Raw gene counts were imported into R (v4.2.3) along with sample</w:t>
      </w:r>
      <w:r>
        <w:t xml:space="preserve"> </w:t>
      </w:r>
      <w:r>
        <w:t xml:space="preserve">metadata. Genes with fewer than 10 counts in at least 85% of samples</w:t>
      </w:r>
      <w:r>
        <w:t xml:space="preserve"> </w:t>
      </w:r>
      <w:r>
        <w:t xml:space="preserve">were removed prior to analysis. Count data were normalized using DESeq2</w:t>
      </w:r>
      <w:r>
        <w:t xml:space="preserve"> </w:t>
      </w:r>
      <w:r>
        <w:t xml:space="preserve">(v1.38.3)</w:t>
      </w:r>
      <w:r>
        <w:t xml:space="preserve"> </w:t>
      </w:r>
      <w:r>
        <w:t xml:space="preserve">(Love et al. 2014)</w:t>
      </w:r>
      <w:r>
        <w:t xml:space="preserve">, with size factors estimated and</w:t>
      </w:r>
      <w:r>
        <w:t xml:space="preserve"> </w:t>
      </w:r>
      <w:r>
        <w:t xml:space="preserve">variance-stabilizing transformation (VST) applied for downstream</w:t>
      </w:r>
      <w:r>
        <w:t xml:space="preserve"> </w:t>
      </w:r>
      <w:r>
        <w:t xml:space="preserve">visualization. Principal component analysis (PCA) was performed on the</w:t>
      </w:r>
      <w:r>
        <w:t xml:space="preserve"> </w:t>
      </w:r>
      <w:r>
        <w:t xml:space="preserve">500 most variable genes to assess global sample structure and identify</w:t>
      </w:r>
      <w:r>
        <w:t xml:space="preserve"> </w:t>
      </w:r>
      <w:r>
        <w:t xml:space="preserve">potential outliers (</w:t>
      </w:r>
      <w:hyperlink w:anchor="fig-pca-heat">
        <w:r>
          <w:rPr>
            <w:rStyle w:val="Hyperlink"/>
          </w:rPr>
          <w:t xml:space="preserve">Figure 7</w:t>
        </w:r>
      </w:hyperlink>
      <w:r>
        <w:t xml:space="preserve"> </w:t>
      </w:r>
      <w:r>
        <w:t xml:space="preserve">A). Outlier samples were flagged by</w:t>
      </w:r>
      <w:r>
        <w:t xml:space="preserve"> </w:t>
      </w:r>
      <w:r>
        <w:t xml:space="preserve">visual inspection and Z-score thresholding (&gt;3 standard deviations</w:t>
      </w:r>
      <w:r>
        <w:t xml:space="preserve"> </w:t>
      </w:r>
      <w:r>
        <w:t xml:space="preserve">along PC1 or PC2) and subsequently removed. Two samples were excluded</w:t>
      </w:r>
      <w:r>
        <w:t xml:space="preserve"> </w:t>
      </w:r>
      <w:r>
        <w:t xml:space="preserve">due to poor alignment in HISAT2 (131415L4 0.2%, 789C4 8.9%; MultiQC</w:t>
      </w:r>
      <w:r>
        <w:t xml:space="preserve"> </w:t>
      </w:r>
      <w:r>
        <w:t xml:space="preserve">Bowtie2/Hisat2 report) and failure to cluster with other samples in the</w:t>
      </w:r>
      <w:r>
        <w:t xml:space="preserve"> </w:t>
      </w:r>
      <w:r>
        <w:t xml:space="preserve">PCA plot. The remaining 61 samples had alignment rates ranging from</w:t>
      </w:r>
      <w:r>
        <w:t xml:space="preserve"> </w:t>
      </w:r>
      <w:r>
        <w:t xml:space="preserve">27.4% to 83.2%. Following outlier removal, gene filtering was repeated</w:t>
      </w:r>
      <w:r>
        <w:t xml:space="preserve"> </w:t>
      </w:r>
      <w:r>
        <w:t xml:space="preserve">using the same filtering thresholds (retaining genes with ≥ 10 counts in</w:t>
      </w:r>
      <w:r>
        <w:t xml:space="preserve"> </w:t>
      </w:r>
      <w:r>
        <w:t xml:space="preserve">at least 85% of samples). Sample-to-sample relationships were further</w:t>
      </w:r>
      <w:r>
        <w:t xml:space="preserve"> </w:t>
      </w:r>
      <w:r>
        <w:t xml:space="preserve">analyzed using a z-score transformed heatmap with hierarchical</w:t>
      </w:r>
      <w:r>
        <w:t xml:space="preserve"> </w:t>
      </w:r>
      <w:r>
        <w:t xml:space="preserve">clustering, with samples annotated by spawn night, leachate treatment</w:t>
      </w:r>
      <w:r>
        <w:t xml:space="preserve"> </w:t>
      </w:r>
      <w:r>
        <w:t xml:space="preserve">and developmental stage (</w:t>
      </w:r>
      <w:hyperlink w:anchor="fig-pca-heat">
        <w:r>
          <w:rPr>
            <w:rStyle w:val="Hyperlink"/>
          </w:rPr>
          <w:t xml:space="preserve">Figure 7</w:t>
        </w:r>
      </w:hyperlink>
      <w:r>
        <w:t xml:space="preserve"> </w:t>
      </w:r>
      <w:r>
        <w:t xml:space="preserve">B).</w:t>
      </w:r>
    </w:p>
    <w:p>
      <w:pPr>
        <w:pStyle w:val="BodyText"/>
      </w:pPr>
      <w:r>
        <w:t xml:space="preserve">Our DESeq2 (v1.38.3)</w:t>
      </w:r>
      <w:r>
        <w:t xml:space="preserve"> </w:t>
      </w:r>
      <w:r>
        <w:t xml:space="preserve">(Love et al. 2014)</w:t>
      </w:r>
      <w:r>
        <w:t xml:space="preserve"> </w:t>
      </w:r>
      <w:r>
        <w:t xml:space="preserve">model accounted for spawn night,</w:t>
      </w:r>
      <w:r>
        <w:t xml:space="preserve"> </w:t>
      </w:r>
      <w:r>
        <w:t xml:space="preserve">stage, leachate, and the interaction between leachate and stage (~</w:t>
      </w:r>
      <w:r>
        <w:t xml:space="preserve"> </w:t>
      </w:r>
      <w:r>
        <w:t xml:space="preserve">spawn_night + stage + leachate + stage:leachate). We chose to treat</w:t>
      </w:r>
      <w:r>
        <w:t xml:space="preserve"> </w:t>
      </w:r>
      <w:r>
        <w:t xml:space="preserve">leachate and hours post fertilization as categorical factors to test for</w:t>
      </w:r>
      <w:r>
        <w:t xml:space="preserve"> </w:t>
      </w:r>
      <w:r>
        <w:t xml:space="preserve">stage-specific differences without assuming a particular dose-response</w:t>
      </w:r>
      <w:r>
        <w:t xml:space="preserve"> </w:t>
      </w:r>
      <w:r>
        <w:t xml:space="preserve">shape, since we were looking for non-linear response trends. To evaluate</w:t>
      </w:r>
      <w:r>
        <w:t xml:space="preserve"> </w:t>
      </w:r>
      <w:r>
        <w:t xml:space="preserve">model structure, we conducted likelihood ratio tests (LRTs). We first</w:t>
      </w:r>
      <w:r>
        <w:t xml:space="preserve"> </w:t>
      </w:r>
      <w:r>
        <w:t xml:space="preserve">analyzed the effect of spawn night by comparing the full model to a</w:t>
      </w:r>
      <w:r>
        <w:t xml:space="preserve"> </w:t>
      </w:r>
      <w:r>
        <w:t xml:space="preserve">reduced model excluding spawn night. This analysis identified 3,551</w:t>
      </w:r>
      <w:r>
        <w:t xml:space="preserve"> </w:t>
      </w:r>
      <w:r>
        <w:t xml:space="preserve">genes (~29%) as significantly differentially expressed</w:t>
      </w:r>
      <w:r>
        <w:t xml:space="preserve"> </w:t>
      </w:r>
      <w:r>
        <w:t xml:space="preserve">(Benjamini-Hochberg (BH) FDR-adjusted p-value &lt; 0.05) indicating that</w:t>
      </w:r>
      <w:r>
        <w:t xml:space="preserve"> </w:t>
      </w:r>
      <w:r>
        <w:t xml:space="preserve">spawn night contributes substantially to expression variability and</w:t>
      </w:r>
      <w:r>
        <w:t xml:space="preserve"> </w:t>
      </w:r>
      <w:r>
        <w:t xml:space="preserve">represents a batch effect. Accordingly, spawn night was retained in the</w:t>
      </w:r>
      <w:r>
        <w:t xml:space="preserve"> </w:t>
      </w:r>
      <w:r>
        <w:t xml:space="preserve">full model to control for the variability in gene expression due to the</w:t>
      </w:r>
      <w:r>
        <w:t xml:space="preserve"> </w:t>
      </w:r>
      <w:r>
        <w:t xml:space="preserve">different nights on which our parent coral colonies spawned. We then</w:t>
      </w:r>
      <w:r>
        <w:t xml:space="preserve"> </w:t>
      </w:r>
      <w:r>
        <w:t xml:space="preserve">used LRTs to confirm the inclusion of both leachate and the stage x</w:t>
      </w:r>
      <w:r>
        <w:t xml:space="preserve"> </w:t>
      </w:r>
      <w:r>
        <w:t xml:space="preserve">leachate interaction terms. Following these tests, Wald contrasts were</w:t>
      </w:r>
      <w:r>
        <w:t xml:space="preserve"> </w:t>
      </w:r>
      <w:r>
        <w:t xml:space="preserve">performed to estimate log</w:t>
      </w:r>
      <w:r>
        <w:rPr>
          <w:vertAlign w:val="subscript"/>
        </w:rPr>
        <w:t xml:space="preserve">2</w:t>
      </w:r>
      <w:r>
        <w:t xml:space="preserve"> </w:t>
      </w:r>
      <w:r>
        <w:t xml:space="preserve">fold changes for pairwise contrasts,</w:t>
      </w:r>
      <w:r>
        <w:t xml:space="preserve"> </w:t>
      </w:r>
      <w:r>
        <w:t xml:space="preserve">specifically assessing the effect of each leachate level at each</w:t>
      </w:r>
      <w:r>
        <w:t xml:space="preserve"> </w:t>
      </w:r>
      <w:r>
        <w:t xml:space="preserve">developmental stage relative to the control, as well as the larger</w:t>
      </w:r>
      <w:r>
        <w:t xml:space="preserve"> </w:t>
      </w:r>
      <w:r>
        <w:t xml:space="preserve">signal across developmental stages. Genes with false discovery rate</w:t>
      </w:r>
      <w:r>
        <w:t xml:space="preserve"> </w:t>
      </w:r>
      <w:r>
        <w:t xml:space="preserve">(FDR) adjusted</w:t>
      </w:r>
      <w:r>
        <w:t xml:space="preserve"> </w:t>
      </w:r>
      <w:r>
        <w:rPr>
          <w:i/>
          <w:iCs/>
        </w:rPr>
        <w:t xml:space="preserve">p</w:t>
      </w:r>
      <w:r>
        <w:t xml:space="preserve"> </w:t>
      </w:r>
      <w:r>
        <w:t xml:space="preserve">&lt; 0.05 were considered significantly differentially</w:t>
      </w:r>
      <w:r>
        <w:t xml:space="preserve"> </w:t>
      </w:r>
      <w:r>
        <w:t xml:space="preserve">expressed in the LRT tests and Wald tests. We generated lists of DEGs</w:t>
      </w:r>
      <w:r>
        <w:t xml:space="preserve"> </w:t>
      </w:r>
      <w:r>
        <w:t xml:space="preserve">responsive to leachate and to developmental progression.</w:t>
      </w:r>
    </w:p>
    <w:p>
      <w:pPr>
        <w:pStyle w:val="BodyText"/>
      </w:pPr>
      <w:r>
        <w:t xml:space="preserve">We then grouped leachate-responsive DEGs and developmental progression</w:t>
      </w:r>
      <w:r>
        <w:t xml:space="preserve"> </w:t>
      </w:r>
      <w:r>
        <w:t xml:space="preserve">DEGs by expression patterns. Because the number of leachate-responsive</w:t>
      </w:r>
      <w:r>
        <w:t xml:space="preserve"> </w:t>
      </w:r>
      <w:r>
        <w:t xml:space="preserve">DEGs was relatively small (n=130) and pre-filtered, the scale-free</w:t>
      </w:r>
      <w:r>
        <w:t xml:space="preserve"> </w:t>
      </w:r>
      <w:r>
        <w:t xml:space="preserve">topology criteria were not met; therefore expression patterns were</w:t>
      </w:r>
      <w:r>
        <w:t xml:space="preserve"> </w:t>
      </w:r>
      <w:r>
        <w:t xml:space="preserve">summarized using trajectory-based clustering implemented in DEGreport</w:t>
      </w:r>
      <w:r>
        <w:t xml:space="preserve"> </w:t>
      </w:r>
      <w:r>
        <w:t xml:space="preserve">v1.46.0, rather than co-expression network analysis. In contrast, the</w:t>
      </w:r>
      <w:r>
        <w:t xml:space="preserve"> </w:t>
      </w:r>
      <w:r>
        <w:t xml:space="preserve">larger set of development-related DEGs (10,793 genes) was analyzed using</w:t>
      </w:r>
      <w:r>
        <w:t xml:space="preserve"> </w:t>
      </w:r>
      <w:r>
        <w:t xml:space="preserve">weighted gene co-expression network analysis (WGCNA) with the WGCNA R</w:t>
      </w:r>
      <w:r>
        <w:t xml:space="preserve"> </w:t>
      </w:r>
      <w:r>
        <w:t xml:space="preserve">package (v 1.73)</w:t>
      </w:r>
      <w:r>
        <w:t xml:space="preserve">(Langfelder and Horvath 2008)</w:t>
      </w:r>
      <w:r>
        <w:t xml:space="preserve">.</w:t>
      </w:r>
    </w:p>
    <w:bookmarkEnd w:id="36"/>
    <w:bookmarkStart w:id="37" w:name="X0f263fe10c7c8f08553d8499128308e0707d1b8"/>
    <w:p>
      <w:pPr>
        <w:pStyle w:val="Heading4"/>
      </w:pPr>
      <w:r>
        <w:t xml:space="preserve">Gene ontology (GO) enrichment and slim characterization</w:t>
      </w:r>
    </w:p>
    <w:p>
      <w:pPr>
        <w:pStyle w:val="FirstParagraph"/>
      </w:pPr>
      <w:r>
        <w:t xml:space="preserve">We characterized the GO terms associated with all of our DEGs for each</w:t>
      </w:r>
      <w:r>
        <w:t xml:space="preserve"> </w:t>
      </w:r>
      <w:r>
        <w:t xml:space="preserve">expression pattern subset. Significant genes identified in the DESeq2</w:t>
      </w:r>
      <w:r>
        <w:t xml:space="preserve"> </w:t>
      </w:r>
      <w:r>
        <w:t xml:space="preserve">analysis were functionally annotated and assessed for Gene Ontology (GO)</w:t>
      </w:r>
      <w:r>
        <w:t xml:space="preserve"> </w:t>
      </w:r>
      <w:r>
        <w:t xml:space="preserve">enrichment. Protein-coding sequences from the</w:t>
      </w:r>
      <w:r>
        <w:t xml:space="preserve"> </w:t>
      </w:r>
      <w:r>
        <w:rPr>
          <w:i/>
          <w:iCs/>
        </w:rPr>
        <w:t xml:space="preserve">Montipora capitata</w:t>
      </w:r>
      <w:r>
        <w:t xml:space="preserve"> </w:t>
      </w:r>
      <w:r>
        <w:t xml:space="preserve">genome v3 (http://cyanophora.rutgers.edu/ montipora/) were matched to</w:t>
      </w:r>
      <w:r>
        <w:t xml:space="preserve"> </w:t>
      </w:r>
      <w:r>
        <w:t xml:space="preserve">EggNOG annotations, and gene lengths were extracted from the reference</w:t>
      </w:r>
      <w:r>
        <w:t xml:space="preserve"> </w:t>
      </w:r>
      <w:r>
        <w:t xml:space="preserve">GFF3 file to account for length-dependent bias in RNA-seq detection. GO</w:t>
      </w:r>
      <w:r>
        <w:t xml:space="preserve"> </w:t>
      </w:r>
      <w:r>
        <w:t xml:space="preserve">enrichment analysis was conducted using the R package goseq (v1.50.0)</w:t>
      </w:r>
      <w:r>
        <w:t xml:space="preserve"> </w:t>
      </w:r>
      <w:r>
        <w:t xml:space="preserve">with Wallenius’ distribution to correct for gene length bias (the</w:t>
      </w:r>
      <w:r>
        <w:t xml:space="preserve"> </w:t>
      </w:r>
      <w:r>
        <w:t xml:space="preserve">increased detection power for longer genes) and restricting tests to</w:t>
      </w:r>
      <w:r>
        <w:t xml:space="preserve"> </w:t>
      </w:r>
      <w:r>
        <w:t xml:space="preserve">biological process terms. A background universe of the filtered DESeq2</w:t>
      </w:r>
      <w:r>
        <w:t xml:space="preserve"> </w:t>
      </w:r>
      <w:r>
        <w:t xml:space="preserve">gene set (12,221 genes) was used. Significance was determined by</w:t>
      </w:r>
      <w:r>
        <w:t xml:space="preserve"> </w:t>
      </w:r>
      <w:r>
        <w:t xml:space="preserve">Benjamini–Hochberg false discovery rate (FDR) correction, with GO terms</w:t>
      </w:r>
      <w:r>
        <w:t xml:space="preserve"> </w:t>
      </w:r>
      <w:r>
        <w:t xml:space="preserve">retained at adjusted p&lt; 0.05.</w:t>
      </w:r>
    </w:p>
    <w:bookmarkEnd w:id="37"/>
    <w:bookmarkEnd w:id="38"/>
    <w:bookmarkStart w:id="41" w:name="Xebe8fa961c7931165f16a4e003a47d8ee637853"/>
    <w:p>
      <w:pPr>
        <w:pStyle w:val="Heading3"/>
      </w:pPr>
      <w:r>
        <w:t xml:space="preserve">Microbiome (DNA library prep, sequencing, processing, and analysis)</w:t>
      </w:r>
    </w:p>
    <w:bookmarkStart w:id="39" w:name="X59b5ca13f8c4138a407e8229e55809af5ef152f"/>
    <w:p>
      <w:pPr>
        <w:pStyle w:val="Heading4"/>
      </w:pPr>
      <w:r>
        <w:t xml:space="preserve">DNA Amplification, Library Preparation, and Sequencing</w:t>
      </w:r>
    </w:p>
    <w:p>
      <w:pPr>
        <w:pStyle w:val="FirstParagraph"/>
      </w:pPr>
      <w:r>
        <w:t xml:space="preserve">Purified DNA for each of our 63 pooled samples was used directly for</w:t>
      </w:r>
      <w:r>
        <w:t xml:space="preserve"> </w:t>
      </w:r>
      <w:r>
        <w:t xml:space="preserve">library preparation, without fragmentation or size selection. Amplicon</w:t>
      </w:r>
      <w:r>
        <w:t xml:space="preserve"> </w:t>
      </w:r>
      <w:r>
        <w:t xml:space="preserve">libraries targeting the V3–V4 region of the 16S rRNA gene were generated</w:t>
      </w:r>
      <w:r>
        <w:t xml:space="preserve"> </w:t>
      </w:r>
      <w:r>
        <w:t xml:space="preserve">following Illumina’s 16S Metagenomic Sequencing Library Preparation</w:t>
      </w:r>
      <w:r>
        <w:t xml:space="preserve"> </w:t>
      </w:r>
      <w:r>
        <w:t xml:space="preserve">protocol (Illumina, Part no. 15044223 Rev. B) using primers</w:t>
      </w:r>
      <w:r>
        <w:t xml:space="preserve"> </w:t>
      </w:r>
      <w:r>
        <w:t xml:space="preserve">5′-CCTACGGGNGGCWGCAG-3′ and 5′-GACTACHVGGGTATCTAATCC-3′ (Klindworth et</w:t>
      </w:r>
      <w:r>
        <w:t xml:space="preserve"> </w:t>
      </w:r>
      <w:r>
        <w:t xml:space="preserve">al. 2013). PCR amplification was performed according to the</w:t>
      </w:r>
      <w:r>
        <w:t xml:space="preserve"> </w:t>
      </w:r>
      <w:r>
        <w:t xml:space="preserve">manufacturer’s guidelines. Libraries were sequenced at the University of</w:t>
      </w:r>
      <w:r>
        <w:t xml:space="preserve"> </w:t>
      </w:r>
      <w:r>
        <w:t xml:space="preserve">Washington Microbiome Initiative (mim_c) on an Illumina NextSeq™ 2000</w:t>
      </w:r>
      <w:r>
        <w:t xml:space="preserve"> </w:t>
      </w:r>
      <w:r>
        <w:t xml:space="preserve">platform using the P1 600-cycle reagent kit. Raw paired-end reads were</w:t>
      </w:r>
      <w:r>
        <w:t xml:space="preserve"> </w:t>
      </w:r>
      <w:r>
        <w:t xml:space="preserve">deposited in the NCBI Sequence Read Archive under BioProject accession</w:t>
      </w:r>
      <w:r>
        <w:t xml:space="preserve"> </w:t>
      </w:r>
      <w:r>
        <w:t xml:space="preserve">number PRJNA1244351.</w:t>
      </w:r>
    </w:p>
    <w:bookmarkEnd w:id="39"/>
    <w:bookmarkStart w:id="40" w:name="Xbee95fd7218ccc5fcbbf9323b0475e5a02c1083"/>
    <w:p>
      <w:pPr>
        <w:pStyle w:val="Heading4"/>
      </w:pPr>
      <w:r>
        <w:t xml:space="preserve">Amplicon Processing and Taxonomic Inference</w:t>
      </w:r>
    </w:p>
    <w:p>
      <w:pPr>
        <w:pStyle w:val="FirstParagraph"/>
      </w:pPr>
      <w:r>
        <w:t xml:space="preserve">All sequence pre-processing steps were performed in QIIME2 v2023.9</w:t>
      </w:r>
      <w:r>
        <w:t xml:space="preserve"> </w:t>
      </w:r>
      <w:r>
        <w:t xml:space="preserve">(Bolyen et al. 2019)</w:t>
      </w:r>
      <w:r>
        <w:t xml:space="preserve">. Demultiplexed paired-end reads were trimmed with</w:t>
      </w:r>
      <w:r>
        <w:t xml:space="preserve"> </w:t>
      </w:r>
      <w:r>
        <w:t xml:space="preserve">Cutadapt to remove primer sequences and then denoised with DADA2. QIIME2</w:t>
      </w:r>
      <w:r>
        <w:t xml:space="preserve"> </w:t>
      </w:r>
      <w:r>
        <w:t xml:space="preserve">was used to examine rarefaction curves, assess sequencing depth, infer</w:t>
      </w:r>
      <w:r>
        <w:t xml:space="preserve"> </w:t>
      </w:r>
      <w:r>
        <w:t xml:space="preserve">amplicon sequence variants (ASVs), remove chimeras, and construct a</w:t>
      </w:r>
      <w:r>
        <w:t xml:space="preserve"> </w:t>
      </w:r>
      <w:r>
        <w:t xml:space="preserve">feature table. Representative ASVs were taxonomically assigned using a</w:t>
      </w:r>
      <w:r>
        <w:t xml:space="preserve"> </w:t>
      </w:r>
      <w:r>
        <w:t xml:space="preserve">pre-trained SILVA Naive Bayes classifier. ASVs classified as</w:t>
      </w:r>
      <w:r>
        <w:t xml:space="preserve"> </w:t>
      </w:r>
      <w:r>
        <w:t xml:space="preserve">mitochondria, chloroplast, or unassigned were removed from the filtered</w:t>
      </w:r>
      <w:r>
        <w:t xml:space="preserve"> </w:t>
      </w:r>
      <w:r>
        <w:t xml:space="preserve">feature table prior to downstream analyses.</w:t>
      </w:r>
    </w:p>
    <w:bookmarkEnd w:id="40"/>
    <w:bookmarkEnd w:id="41"/>
    <w:bookmarkStart w:id="44" w:name="X30e5287f6c323105cca9add62cfc63436366a31"/>
    <w:p>
      <w:pPr>
        <w:pStyle w:val="Heading3"/>
      </w:pPr>
      <w:r>
        <w:t xml:space="preserve">Microbial community compositional data analysis</w:t>
      </w:r>
    </w:p>
    <w:p>
      <w:pPr>
        <w:pStyle w:val="FirstParagraph"/>
      </w:pPr>
      <w:r>
        <w:t xml:space="preserve">Data representing our 63 pooled samples coral embryo microbiome</w:t>
      </w:r>
      <w:r>
        <w:t xml:space="preserve"> </w:t>
      </w:r>
      <w:r>
        <w:t xml:space="preserve">communities. Amplicon sequence variant (ASV) count data were analyzed</w:t>
      </w:r>
      <w:r>
        <w:t xml:space="preserve"> </w:t>
      </w:r>
      <w:r>
        <w:t xml:space="preserve">following recommendations for microbiome sequence data, which are</w:t>
      </w:r>
      <w:r>
        <w:t xml:space="preserve"> </w:t>
      </w:r>
      <w:r>
        <w:t xml:space="preserve">constrained by relative abundance and sequencing depth rather than</w:t>
      </w:r>
      <w:r>
        <w:t xml:space="preserve"> </w:t>
      </w:r>
      <w:r>
        <w:t xml:space="preserve">absolute counts</w:t>
      </w:r>
      <w:r>
        <w:t xml:space="preserve"> </w:t>
      </w:r>
      <w:r>
        <w:t xml:space="preserve">(Gloor et al. 2017)</w:t>
      </w:r>
      <w:r>
        <w:t xml:space="preserve">. Analyses were conducted in R (v4.5.1)</w:t>
      </w:r>
      <w:r>
        <w:t xml:space="preserve"> </w:t>
      </w:r>
      <w:r>
        <w:t xml:space="preserve">using the packages tidyverse, qiime2R, phyloseq, vegan, compositions,</w:t>
      </w:r>
      <w:r>
        <w:t xml:space="preserve"> </w:t>
      </w:r>
      <w:r>
        <w:t xml:space="preserve">and zCompositions.</w:t>
      </w:r>
    </w:p>
    <w:p>
      <w:pPr>
        <w:pStyle w:val="BodyText"/>
      </w:pPr>
      <w:r>
        <w:t xml:space="preserve">Because log-ratio transformations cannot accommodate zeros directly,</w:t>
      </w:r>
      <w:r>
        <w:t xml:space="preserve"> </w:t>
      </w:r>
      <w:r>
        <w:t xml:space="preserve">zero counts were first replaced using count zero multiplicative</w:t>
      </w:r>
      <w:r>
        <w:t xml:space="preserve"> </w:t>
      </w:r>
      <w:r>
        <w:t xml:space="preserve">replacement (cmultRepl, method =</w:t>
      </w:r>
      <w:r>
        <w:t xml:space="preserve"> </w:t>
      </w:r>
      <w:r>
        <w:t xml:space="preserve">“CZM”</w:t>
      </w:r>
      <w:r>
        <w:t xml:space="preserve">). The zero-adjusted count matrix</w:t>
      </w:r>
      <w:r>
        <w:t xml:space="preserve"> </w:t>
      </w:r>
      <w:r>
        <w:t xml:space="preserve">was then transformed using the centered log-ratio (CLR) transformation</w:t>
      </w:r>
      <w:r>
        <w:t xml:space="preserve"> </w:t>
      </w:r>
      <w:r>
        <w:t xml:space="preserve">to map compositional data into Euclidean space suitable for standard</w:t>
      </w:r>
      <w:r>
        <w:t xml:space="preserve"> </w:t>
      </w:r>
      <w:r>
        <w:t xml:space="preserve">multivariate analyses. The resulting CLR matrix contained 63 samples and</w:t>
      </w:r>
      <w:r>
        <w:t xml:space="preserve"> </w:t>
      </w:r>
      <w:r>
        <w:t xml:space="preserve">663 retained ASVs.</w:t>
      </w:r>
    </w:p>
    <w:p>
      <w:pPr>
        <w:pStyle w:val="BodyText"/>
      </w:pPr>
      <w:r>
        <w:t xml:space="preserve">Between-sample dissimilarity (Beta diversity) was quantified using</w:t>
      </w:r>
      <w:r>
        <w:t xml:space="preserve"> </w:t>
      </w:r>
      <w:r>
        <w:t xml:space="preserve">Aitchison distance, calculated as Euclidean distance on the</w:t>
      </w:r>
      <w:r>
        <w:t xml:space="preserve"> </w:t>
      </w:r>
      <w:r>
        <w:t xml:space="preserve">CLR-transformed feature table. Principal components analysis (PCA) was</w:t>
      </w:r>
      <w:r>
        <w:t xml:space="preserve"> </w:t>
      </w:r>
      <w:r>
        <w:t xml:space="preserve">then performed on the CLR-transformed matrix using the prcomp()</w:t>
      </w:r>
      <w:r>
        <w:t xml:space="preserve"> </w:t>
      </w:r>
      <w:r>
        <w:t xml:space="preserve">function. To evaluate whether differences among groups reflected unequal</w:t>
      </w:r>
      <w:r>
        <w:t xml:space="preserve"> </w:t>
      </w:r>
      <w:r>
        <w:t xml:space="preserve">within-group variability rather than centroid separation, homogeneity of</w:t>
      </w:r>
      <w:r>
        <w:t xml:space="preserve"> </w:t>
      </w:r>
      <w:r>
        <w:t xml:space="preserve">multivariate dispersion was tested using betadisper(). Dispersion was</w:t>
      </w:r>
      <w:r>
        <w:t xml:space="preserve"> </w:t>
      </w:r>
      <w:r>
        <w:t xml:space="preserve">evaluated separately for spawn night, leachate treatment, developmental</w:t>
      </w:r>
      <w:r>
        <w:t xml:space="preserve"> </w:t>
      </w:r>
      <w:r>
        <w:t xml:space="preserve">stage, and the leachate × stage interaction.</w:t>
      </w:r>
    </w:p>
    <w:p>
      <w:pPr>
        <w:pStyle w:val="BodyText"/>
      </w:pPr>
      <w:r>
        <w:t xml:space="preserve">Differences in microbial community composition across experimental</w:t>
      </w:r>
      <w:r>
        <w:t xml:space="preserve"> </w:t>
      </w:r>
      <w:r>
        <w:t xml:space="preserve">factors (∼leachate*stage) were tested using permutational multivariate</w:t>
      </w:r>
      <w:r>
        <w:t xml:space="preserve"> </w:t>
      </w:r>
      <w:r>
        <w:t xml:space="preserve">analysis of variance (PERMANOVA) implemented with adonis2() in the vegan</w:t>
      </w:r>
      <w:r>
        <w:t xml:space="preserve"> </w:t>
      </w:r>
      <w:r>
        <w:t xml:space="preserve">package, with 999 permutations. To account for non-independence among</w:t>
      </w:r>
      <w:r>
        <w:t xml:space="preserve"> </w:t>
      </w:r>
      <w:r>
        <w:t xml:space="preserve">samples collected on the same spawning night, permutations were</w:t>
      </w:r>
      <w:r>
        <w:t xml:space="preserve"> </w:t>
      </w:r>
      <w:r>
        <w:t xml:space="preserve">constrained within spawn night using the strata argument. Terms were</w:t>
      </w:r>
      <w:r>
        <w:t xml:space="preserve"> </w:t>
      </w:r>
      <w:r>
        <w:t xml:space="preserve">tested sequentially using the by =</w:t>
      </w:r>
      <w:r>
        <w:t xml:space="preserve"> </w:t>
      </w:r>
      <w:r>
        <w:t xml:space="preserve">“terms”</w:t>
      </w:r>
      <w:r>
        <w:t xml:space="preserve"> </w:t>
      </w:r>
      <w:r>
        <w:t xml:space="preserve">option. This approach allowed</w:t>
      </w:r>
      <w:r>
        <w:t xml:space="preserve"> </w:t>
      </w:r>
      <w:r>
        <w:t xml:space="preserve">effects of leachate exposure and developmental timing to be evaluated</w:t>
      </w:r>
      <w:r>
        <w:t xml:space="preserve"> </w:t>
      </w:r>
      <w:r>
        <w:t xml:space="preserve">while controlling for batch effects associated with the night of</w:t>
      </w:r>
      <w:r>
        <w:t xml:space="preserve"> </w:t>
      </w:r>
      <w:r>
        <w:t xml:space="preserve">spawning.</w:t>
      </w:r>
    </w:p>
    <w:bookmarkStart w:id="42" w:name="Xba2257290eb3407a2075f3921a39cc2f83fa325"/>
    <w:p>
      <w:pPr>
        <w:pStyle w:val="Heading4"/>
      </w:pPr>
      <w:r>
        <w:t xml:space="preserve">Differential abundance &amp; prevalence testing with MaAsLin3</w:t>
      </w:r>
    </w:p>
    <w:p>
      <w:pPr>
        <w:pStyle w:val="FirstParagraph"/>
      </w:pPr>
      <w:r>
        <w:t xml:space="preserve">Associations between microbial features and experimental variables were</w:t>
      </w:r>
      <w:r>
        <w:t xml:space="preserve"> </w:t>
      </w:r>
      <w:r>
        <w:t xml:space="preserve">tested using MaAsLin3</w:t>
      </w:r>
      <w:r>
        <w:t xml:space="preserve"> </w:t>
      </w:r>
      <w:r>
        <w:t xml:space="preserve">(Mallick et al. 2021)</w:t>
      </w:r>
      <w:r>
        <w:t xml:space="preserve"> </w:t>
      </w:r>
      <w:r>
        <w:t xml:space="preserve">in R. Analyses were performed on</w:t>
      </w:r>
      <w:r>
        <w:t xml:space="preserve"> </w:t>
      </w:r>
      <w:r>
        <w:t xml:space="preserve">taxonomic features collapsed to the genus level (Level 6). For both data</w:t>
      </w:r>
      <w:r>
        <w:t xml:space="preserve"> </w:t>
      </w:r>
      <w:r>
        <w:t xml:space="preserve">types, features were retained if present in ≥5% of samples with relative</w:t>
      </w:r>
      <w:r>
        <w:t xml:space="preserve"> </w:t>
      </w:r>
      <w:r>
        <w:t xml:space="preserve">abundance ≥0.1%. No additional normalization was applied, as inputs were</w:t>
      </w:r>
      <w:r>
        <w:t xml:space="preserve"> </w:t>
      </w:r>
      <w:r>
        <w:t xml:space="preserve">proportion-normalized during preprocessing. Differential abundance and</w:t>
      </w:r>
      <w:r>
        <w:t xml:space="preserve"> </w:t>
      </w:r>
      <w:r>
        <w:t xml:space="preserve">prevalence testing were performed using a generalized linear</w:t>
      </w:r>
      <w:r>
        <w:t xml:space="preserve"> </w:t>
      </w:r>
      <w:r>
        <w:t xml:space="preserve">mixed-effects modeling framework implemented in MaAsLin3 with the</w:t>
      </w:r>
      <w:r>
        <w:t xml:space="preserve"> </w:t>
      </w:r>
      <w:r>
        <w:t xml:space="preserve">formula: abundance/prevalence ~ leachate * hpf + (1|spawn_night).</w:t>
      </w:r>
      <w:r>
        <w:t xml:space="preserve"> </w:t>
      </w:r>
      <w:r>
        <w:t xml:space="preserve">Significance was determined by adjusted joint q-values &lt; 0.1, which</w:t>
      </w:r>
      <w:r>
        <w:t xml:space="preserve"> </w:t>
      </w:r>
      <w:r>
        <w:t xml:space="preserve">were corrected for multiple testing with the Benjamini–Hochberg method</w:t>
      </w:r>
      <w:r>
        <w:t xml:space="preserve"> </w:t>
      </w:r>
      <w:r>
        <w:t xml:space="preserve">for adjusting for false discovery rate.</w:t>
      </w:r>
    </w:p>
    <w:bookmarkEnd w:id="42"/>
    <w:bookmarkStart w:id="43" w:name="functional-prediction-with-picrust2"/>
    <w:p>
      <w:pPr>
        <w:pStyle w:val="Heading4"/>
      </w:pPr>
      <w:r>
        <w:t xml:space="preserve">Functional Prediction with PICRUSt2</w:t>
      </w:r>
    </w:p>
    <w:p>
      <w:pPr>
        <w:pStyle w:val="FirstParagraph"/>
      </w:pPr>
      <w:r>
        <w:t xml:space="preserve">Predicted functional profiles were inferred from 16S rRNA amplicon</w:t>
      </w:r>
      <w:r>
        <w:t xml:space="preserve"> </w:t>
      </w:r>
      <w:r>
        <w:t xml:space="preserve">sequence variants (ASVs) using PICRUSt2</w:t>
      </w:r>
      <w:r>
        <w:t xml:space="preserve"> </w:t>
      </w:r>
      <w:r>
        <w:t xml:space="preserve">(Douglas et al. 2020)</w:t>
      </w:r>
      <w:r>
        <w:t xml:space="preserve">. A total of</w:t>
      </w:r>
      <w:r>
        <w:t xml:space="preserve"> </w:t>
      </w:r>
      <w:r>
        <w:t xml:space="preserve">547 PICRUSt2 predicted MetaCyc pathways were included in downstream</w:t>
      </w:r>
      <w:r>
        <w:t xml:space="preserve"> </w:t>
      </w:r>
      <w:r>
        <w:t xml:space="preserve">modeling. Differential abundance and prevalence testing of MetaCyc</w:t>
      </w:r>
      <w:r>
        <w:t xml:space="preserve"> </w:t>
      </w:r>
      <w:r>
        <w:t xml:space="preserve">predicted pathways was conducted using MaAsLin3 in R.</w:t>
      </w:r>
    </w:p>
    <w:bookmarkEnd w:id="43"/>
    <w:bookmarkEnd w:id="44"/>
    <w:bookmarkEnd w:id="45"/>
    <w:bookmarkStart w:id="110" w:name="results"/>
    <w:p>
      <w:pPr>
        <w:pStyle w:val="Heading2"/>
      </w:pPr>
      <w:r>
        <w:t xml:space="preserve">Results</w:t>
      </w:r>
    </w:p>
    <w:bookmarkStart w:id="61" w:name="h1-survival-and-development"/>
    <w:p>
      <w:pPr>
        <w:pStyle w:val="Heading3"/>
      </w:pPr>
      <w:r>
        <w:rPr>
          <w:i/>
          <w:iCs/>
        </w:rPr>
        <w:t xml:space="preserve">H</w:t>
      </w:r>
      <w:r>
        <w:rPr>
          <w:i/>
          <w:iCs/>
          <w:vertAlign w:val="subscript"/>
        </w:rPr>
        <w:t xml:space="preserve">1</w:t>
      </w:r>
      <w:r>
        <w:t xml:space="preserve">: Survival and Development</w:t>
      </w:r>
    </w:p>
    <w:bookmarkStart w:id="50" w:name="survival"/>
    <w:p>
      <w:pPr>
        <w:pStyle w:val="Heading4"/>
      </w:pPr>
      <w:r>
        <w:t xml:space="preserve">Survival</w:t>
      </w:r>
    </w:p>
    <w:p>
      <w:pPr>
        <w:pStyle w:val="FirstParagraph"/>
      </w:pPr>
      <w:r>
        <w:t xml:space="preserve">Polyvinyl chloride (PVC) leachate did not change embryo survival during</w:t>
      </w:r>
      <w:r>
        <w:t xml:space="preserve"> </w:t>
      </w:r>
      <w:r>
        <w:t xml:space="preserve">the first 14 hours post-fertilization (hpf) of embryonic development</w:t>
      </w:r>
      <w:r>
        <w:t xml:space="preserve"> </w:t>
      </w:r>
      <w:r>
        <w:t xml:space="preserve">(</w:t>
      </w:r>
      <w:hyperlink w:anchor="fig-survival-timing-morph">
        <w:r>
          <w:rPr>
            <w:rStyle w:val="Hyperlink"/>
          </w:rPr>
          <w:t xml:space="preserve">Figure 4</w:t>
        </w:r>
      </w:hyperlink>
      <w:r>
        <w:t xml:space="preserve"> </w:t>
      </w:r>
      <w:r>
        <w:t xml:space="preserve">a; treatment: F</w:t>
      </w:r>
      <w:r>
        <w:rPr>
          <w:vertAlign w:val="subscript"/>
        </w:rPr>
        <w:t xml:space="preserve">3,96</w:t>
      </w:r>
      <w:r>
        <w:t xml:space="preserve"> </w:t>
      </w:r>
      <w:r>
        <w:t xml:space="preserve">= 0.523,</w:t>
      </w:r>
      <w:r>
        <w:t xml:space="preserve"> </w:t>
      </w:r>
      <w:r>
        <w:rPr>
          <w:i/>
          <w:iCs/>
        </w:rPr>
        <w:t xml:space="preserve">p</w:t>
      </w:r>
      <w:r>
        <w:t xml:space="preserve"> </w:t>
      </w:r>
      <w:r>
        <w:t xml:space="preserve">=</w:t>
      </w:r>
      <w:r>
        <w:t xml:space="preserve"> </w:t>
      </w:r>
      <w:r>
        <w:t xml:space="preserve">0.668)(</w:t>
      </w:r>
      <w:hyperlink w:anchor="tbl-survival-anova">
        <w:r>
          <w:rPr>
            <w:rStyle w:val="Hyperlink"/>
          </w:rPr>
          <w:t xml:space="preserve">Table 2</w:t>
        </w:r>
      </w:hyperlink>
      <w:r>
        <w:t xml:space="preserve">).</w:t>
      </w:r>
    </w:p>
    <w:p>
      <w:pPr>
        <w:pStyle w:val="BodyText"/>
      </w:pPr>
      <w:r>
        <w:t xml:space="preserve">Time was the main factor affecting embryo survival. Mean counts of</w:t>
      </w:r>
      <w:r>
        <w:t xml:space="preserve"> </w:t>
      </w:r>
      <w:r>
        <w:t xml:space="preserve">surviving embryos across replicate vials declined from 26.1 ± 4.4 SD at</w:t>
      </w:r>
      <w:r>
        <w:t xml:space="preserve"> </w:t>
      </w:r>
      <w:r>
        <w:t xml:space="preserve">4 hpf to 12.2 ± 7.4 SD at 9 hpf, and then remained relatively stable</w:t>
      </w:r>
      <w:r>
        <w:t xml:space="preserve"> </w:t>
      </w:r>
      <w:r>
        <w:t xml:space="preserve">between 9 and 14 hpf (11.9 ± 5.7 SD) (hpf: F</w:t>
      </w:r>
      <w:r>
        <w:rPr>
          <w:vertAlign w:val="subscript"/>
        </w:rPr>
        <w:t xml:space="preserve">2,96</w:t>
      </w:r>
      <w:r>
        <w:t xml:space="preserve"> </w:t>
      </w:r>
      <w:r>
        <w:t xml:space="preserve">= 64.04,</w:t>
      </w:r>
      <w:r>
        <w:t xml:space="preserve"> </w:t>
      </w:r>
      <w:r>
        <w:rPr>
          <w:i/>
          <w:iCs/>
        </w:rPr>
        <w:t xml:space="preserve">p</w:t>
      </w:r>
      <w:r>
        <w:t xml:space="preserve"> </w:t>
      </w:r>
      <w:r>
        <w:t xml:space="preserve">&lt;</w:t>
      </w:r>
      <w:r>
        <w:t xml:space="preserve"> </w:t>
      </w:r>
      <w:r>
        <w:t xml:space="preserve">0.0001). Survival was similar across all PVC leachate treatments</w:t>
      </w:r>
      <w:r>
        <w:t xml:space="preserve"> </w:t>
      </w:r>
      <w:r>
        <w:t xml:space="preserve">(interaction: F</w:t>
      </w:r>
      <w:r>
        <w:rPr>
          <w:vertAlign w:val="subscript"/>
        </w:rPr>
        <w:t xml:space="preserve">6,96</w:t>
      </w:r>
      <w:r>
        <w:t xml:space="preserve"> </w:t>
      </w:r>
      <w:r>
        <w:t xml:space="preserve">= 0.572,</w:t>
      </w:r>
      <w:r>
        <w:t xml:space="preserve"> </w:t>
      </w:r>
      <w:r>
        <w:rPr>
          <w:i/>
          <w:iCs/>
        </w:rPr>
        <w:t xml:space="preserve">p</w:t>
      </w:r>
      <w:r>
        <w:t xml:space="preserve"> </w:t>
      </w:r>
      <w:r>
        <w:t xml:space="preserve">= 0.752), showing that neither</w:t>
      </w:r>
      <w:r>
        <w:t xml:space="preserve"> </w:t>
      </w:r>
      <w:r>
        <w:t xml:space="preserve">exposure level nor exposure duration altered embryo survival trends.</w:t>
      </w:r>
      <w:r>
        <w:t xml:space="preserve"> </w:t>
      </w:r>
      <w:r>
        <w:t xml:space="preserve">Model assumptions for our two-way ANOVA were met as residuals were</w:t>
      </w:r>
      <w:r>
        <w:t xml:space="preserve"> </w:t>
      </w:r>
      <w:r>
        <w:t xml:space="preserve">normally distributed (Shapiro–Wilk normality test W = 0.99,</w:t>
      </w:r>
      <w:r>
        <w:t xml:space="preserve"> </w:t>
      </w:r>
      <w:r>
        <w:rPr>
          <w:i/>
          <w:iCs/>
        </w:rPr>
        <w:t xml:space="preserve">p</w:t>
      </w:r>
      <w:r>
        <w:t xml:space="preserve"> </w:t>
      </w:r>
      <w:r>
        <w:t xml:space="preserve">= 0.69)</w:t>
      </w:r>
      <w:r>
        <w:t xml:space="preserve"> </w:t>
      </w:r>
      <w:r>
        <w:t xml:space="preserve">and variances were similar among groups (Levene’s F~11, 96~ = 1.25,</w:t>
      </w:r>
      <w:r>
        <w:t xml:space="preserve"> </w:t>
      </w:r>
      <w:r>
        <w:rPr>
          <w:i/>
          <w:iCs/>
        </w:rPr>
        <w:t xml:space="preserve">p</w:t>
      </w:r>
      <w:r>
        <w:t xml:space="preserve">= 0.26 ).</w:t>
      </w:r>
    </w:p>
    <w:tbl>
      <w:tblPr>
        <w:tblStyle w:val="Table"/>
        <w:tblW w:type="pct" w:w="5000"/>
        <w:tblLayout w:type="fixed"/>
        <w:tblLook w:firstRow="0" w:lastRow="0" w:firstColumn="0" w:lastColumn="0" w:noHBand="0" w:noVBand="0" w:val="0000"/>
      </w:tblPr>
      <w:tblGrid>
        <w:gridCol w:w="7920"/>
      </w:tblGrid>
      <w:tr>
        <w:tc>
          <w:tcPr/>
          <w:bookmarkStart w:id="49" w:name="fig-survival-timing-morph"/>
          <w:p>
            <w:pPr>
              <w:pStyle w:val="Compact"/>
              <w:jc w:val="center"/>
            </w:pPr>
            <w:r>
              <w:drawing>
                <wp:inline>
                  <wp:extent cx="5334000" cy="6400800"/>
                  <wp:effectExtent b="0" l="0" r="0" t="0"/>
                  <wp:docPr descr="" title="" id="47" name="Picture"/>
                  <a:graphic>
                    <a:graphicData uri="http://schemas.openxmlformats.org/drawingml/2006/picture">
                      <pic:pic>
                        <pic:nvPicPr>
                          <pic:cNvPr descr="figs/survival_timing_morphology.png" id="48" name="Picture"/>
                          <pic:cNvPicPr>
                            <a:picLocks noChangeArrowheads="1" noChangeAspect="1"/>
                          </pic:cNvPicPr>
                        </pic:nvPicPr>
                        <pic:blipFill>
                          <a:blip r:embed="rId46"/>
                          <a:stretch>
                            <a:fillRect/>
                          </a:stretch>
                        </pic:blipFill>
                        <pic:spPr bwMode="auto">
                          <a:xfrm>
                            <a:off x="0" y="0"/>
                            <a:ext cx="5334000" cy="6400800"/>
                          </a:xfrm>
                          <a:prstGeom prst="rect">
                            <a:avLst/>
                          </a:prstGeom>
                          <a:noFill/>
                          <a:ln w="9525">
                            <a:noFill/>
                            <a:headEnd/>
                            <a:tailEnd/>
                          </a:ln>
                        </pic:spPr>
                      </pic:pic>
                    </a:graphicData>
                  </a:graphic>
                </wp:inline>
              </w:drawing>
            </w:r>
          </w:p>
          <w:p>
            <w:pPr>
              <w:jc w:val="center"/>
            </w:pPr>
            <w:pPr>
              <w:jc w:val="left"/>
              <w:spacing w:before="200"/>
              <w:pStyle w:val="ImageCaption"/>
            </w:pPr>
            <w:r>
              <w:t xml:space="preserve">Figure 4: A. Total surviving embryo counts at 4, 9, and 14 hours</w:t>
            </w:r>
            <w:r>
              <w:t xml:space="preserve"> </w:t>
            </w:r>
            <w:r>
              <w:t xml:space="preserve">post-fertilization (hpf) following exposure to increasing doses of PVC</w:t>
            </w:r>
            <w:r>
              <w:t xml:space="preserve"> </w:t>
            </w:r>
            <w:r>
              <w:t xml:space="preserve">leachate; illustrating no differences in survival due to treatment B.</w:t>
            </w:r>
            <w:r>
              <w:t xml:space="preserve"> </w:t>
            </w:r>
            <w:r>
              <w:t xml:space="preserve">Total embryo counts colored by embryonic stage (egg, cleavage, morula,</w:t>
            </w:r>
            <w:r>
              <w:t xml:space="preserve"> </w:t>
            </w:r>
            <w:r>
              <w:t xml:space="preserve">prawnchip, early gastrula) for each treatment and time point;</w:t>
            </w:r>
            <w:r>
              <w:t xml:space="preserve"> </w:t>
            </w:r>
            <w:r>
              <w:t xml:space="preserve">illustrating subtle shifts in stage composition in low and mid exposures</w:t>
            </w:r>
            <w:r>
              <w:t xml:space="preserve"> </w:t>
            </w:r>
            <w:r>
              <w:t xml:space="preserve">at 9 and 14 hpf. C. Total embryo counts colored by morphology status</w:t>
            </w:r>
            <w:r>
              <w:t xml:space="preserve"> </w:t>
            </w:r>
            <w:r>
              <w:t xml:space="preserve">(malformed, uncertain/torn, typical) for each treatment and time point;</w:t>
            </w:r>
            <w:r>
              <w:t xml:space="preserve"> </w:t>
            </w:r>
            <w:r>
              <w:t xml:space="preserve">illustrating no differences in morphology due to PVC leachate</w:t>
            </w:r>
            <w:r>
              <w:t xml:space="preserve"> </w:t>
            </w:r>
            <w:r>
              <w:t xml:space="preserve">treatment.</w:t>
            </w:r>
          </w:p>
          <w:bookmarkEnd w:id="49"/>
        </w:tc>
      </w:tr>
    </w:tbl>
    <w:bookmarkEnd w:id="50"/>
    <w:bookmarkStart w:id="51" w:name="morphological-abnormality"/>
    <w:p>
      <w:pPr>
        <w:pStyle w:val="Heading4"/>
      </w:pPr>
      <w:r>
        <w:t xml:space="preserve">Morphological abnormality</w:t>
      </w:r>
    </w:p>
    <w:p>
      <w:pPr>
        <w:pStyle w:val="FirstParagraph"/>
      </w:pPr>
      <w:r>
        <w:t xml:space="preserve">Morphological abnormality (embryos annotated as typical, uncertain/torn,</w:t>
      </w:r>
      <w:r>
        <w:t xml:space="preserve"> </w:t>
      </w:r>
      <w:r>
        <w:t xml:space="preserve">or malformed) did not vary across PVC leachate treatments. The</w:t>
      </w:r>
      <w:r>
        <w:t xml:space="preserve"> </w:t>
      </w:r>
      <w:r>
        <w:t xml:space="preserve">multivariate negative binomial model found that neither PVC leachate</w:t>
      </w:r>
      <w:r>
        <w:t xml:space="preserve"> </w:t>
      </w:r>
      <w:r>
        <w:t xml:space="preserve">treatment (treatment:</w:t>
      </w:r>
      <w:r>
        <w:t xml:space="preserve"> </w:t>
      </w:r>
      <w:r>
        <w:rPr>
          <w:i/>
          <w:iCs/>
        </w:rPr>
        <w:t xml:space="preserve">Dev</w:t>
      </w:r>
      <w:r>
        <w:t xml:space="preserve"> </w:t>
      </w:r>
      <w:r>
        <w:t xml:space="preserve">= 4.67,</w:t>
      </w:r>
      <w:r>
        <w:t xml:space="preserve"> </w:t>
      </w:r>
      <w:r>
        <w:rPr>
          <w:i/>
          <w:iCs/>
        </w:rPr>
        <w:t xml:space="preserve">p</w:t>
      </w:r>
      <w:r>
        <w:t xml:space="preserve"> </w:t>
      </w:r>
      <w:r>
        <w:t xml:space="preserve">= 0.607) nor the relationship</w:t>
      </w:r>
      <w:r>
        <w:t xml:space="preserve"> </w:t>
      </w:r>
      <w:r>
        <w:t xml:space="preserve">between PVC leachate treatment and developmental time (interaction:</w:t>
      </w:r>
      <w:r>
        <w:t xml:space="preserve"> </w:t>
      </w:r>
      <w:r>
        <w:rPr>
          <w:i/>
          <w:iCs/>
        </w:rPr>
        <w:t xml:space="preserve">Dev</w:t>
      </w:r>
      <w:r>
        <w:t xml:space="preserve"> </w:t>
      </w:r>
      <w:r>
        <w:t xml:space="preserve">= 11.41,</w:t>
      </w:r>
      <w:r>
        <w:t xml:space="preserve"> </w:t>
      </w:r>
      <w:r>
        <w:rPr>
          <w:i/>
          <w:iCs/>
        </w:rPr>
        <w:t xml:space="preserve">p</w:t>
      </w:r>
      <w:r>
        <w:t xml:space="preserve"> </w:t>
      </w:r>
      <w:r>
        <w:t xml:space="preserve">= 0.770) had any effect on morphological abnormality</w:t>
      </w:r>
      <w:r>
        <w:t xml:space="preserve"> </w:t>
      </w:r>
      <w:r>
        <w:t xml:space="preserve">(</w:t>
      </w:r>
      <w:r>
        <w:t xml:space="preserve"> </w:t>
      </w:r>
      <w:hyperlink w:anchor="tbl-morph-status">
        <w:r>
          <w:rPr>
            <w:rStyle w:val="Hyperlink"/>
          </w:rPr>
          <w:t xml:space="preserve">Table 4</w:t>
        </w:r>
      </w:hyperlink>
      <w:r>
        <w:t xml:space="preserve">).</w:t>
      </w:r>
    </w:p>
    <w:p>
      <w:pPr>
        <w:pStyle w:val="BodyText"/>
      </w:pPr>
      <w:r>
        <w:t xml:space="preserve">However, we found developmental stage significantly impacted morphology</w:t>
      </w:r>
      <w:r>
        <w:t xml:space="preserve"> </w:t>
      </w:r>
      <w:r>
        <w:t xml:space="preserve">status. Regardless of treatment, we found an increase in uncertain</w:t>
      </w:r>
      <w:r>
        <w:t xml:space="preserve"> </w:t>
      </w:r>
      <w:r>
        <w:t xml:space="preserve">embryos (Dev = 25.24,</w:t>
      </w:r>
      <w:r>
        <w:t xml:space="preserve"> </w:t>
      </w:r>
      <w:r>
        <w:rPr>
          <w:i/>
          <w:iCs/>
        </w:rPr>
        <w:t xml:space="preserve">p</w:t>
      </w:r>
      <w:r>
        <w:t xml:space="preserve"> </w:t>
      </w:r>
      <w:r>
        <w:t xml:space="preserve">= 0.002) at the 9 hpf (prawnchip) stage, with</w:t>
      </w:r>
      <w:r>
        <w:t xml:space="preserve"> </w:t>
      </w:r>
      <w:r>
        <w:t xml:space="preserve">a concurrent decrease in typical embryos (Dev = 63.75,</w:t>
      </w:r>
      <w:r>
        <w:t xml:space="preserve"> </w:t>
      </w:r>
      <w:r>
        <w:rPr>
          <w:i/>
          <w:iCs/>
        </w:rPr>
        <w:t xml:space="preserve">p</w:t>
      </w:r>
      <w:r>
        <w:t xml:space="preserve"> </w:t>
      </w:r>
      <w:r>
        <w:t xml:space="preserve">= 0.001)(</w:t>
      </w:r>
      <w:r>
        <w:t xml:space="preserve"> </w:t>
      </w:r>
      <w:hyperlink w:anchor="fig-survival-timing-morph">
        <w:r>
          <w:rPr>
            <w:rStyle w:val="Hyperlink"/>
          </w:rPr>
          <w:t xml:space="preserve">Figure 4</w:t>
        </w:r>
      </w:hyperlink>
      <w:r>
        <w:t xml:space="preserve"> </w:t>
      </w:r>
      <w:r>
        <w:t xml:space="preserve">C). Malformed embryos however did not vary</w:t>
      </w:r>
      <w:r>
        <w:t xml:space="preserve"> </w:t>
      </w:r>
      <w:r>
        <w:t xml:space="preserve">significantly across developmental time (Dev = 1.91,</w:t>
      </w:r>
      <w:r>
        <w:t xml:space="preserve"> </w:t>
      </w:r>
      <w:r>
        <w:rPr>
          <w:i/>
          <w:iCs/>
        </w:rPr>
        <w:t xml:space="preserve">p</w:t>
      </w:r>
      <w:r>
        <w:t xml:space="preserve"> </w:t>
      </w:r>
      <w:r>
        <w:t xml:space="preserve">= 0.366)</w:t>
      </w:r>
      <w:r>
        <w:t xml:space="preserve"> </w:t>
      </w:r>
      <w:r>
        <w:t xml:space="preserve">(</w:t>
      </w:r>
      <w:hyperlink w:anchor="tbl-morph-status">
        <w:r>
          <w:rPr>
            <w:rStyle w:val="Hyperlink"/>
          </w:rPr>
          <w:t xml:space="preserve">Table 4</w:t>
        </w:r>
      </w:hyperlink>
      <w:r>
        <w:t xml:space="preserve">).</w:t>
      </w:r>
    </w:p>
    <w:p>
      <w:pPr>
        <w:pStyle w:val="BodyText"/>
      </w:pPr>
      <w:r>
        <w:t xml:space="preserve">Mean count summaries show that typical embryos were most abundant at 4</w:t>
      </w:r>
      <w:r>
        <w:t xml:space="preserve"> </w:t>
      </w:r>
      <w:r>
        <w:t xml:space="preserve">hpf across all treatments, then declined at 9 and 14 hpf, while</w:t>
      </w:r>
      <w:r>
        <w:t xml:space="preserve"> </w:t>
      </w:r>
      <w:r>
        <w:t xml:space="preserve">uncertain embryos tended to peak at 9 hpf. Malformed embryos remained</w:t>
      </w:r>
      <w:r>
        <w:t xml:space="preserve"> </w:t>
      </w:r>
      <w:r>
        <w:t xml:space="preserve">consistently low. Together, these results indicate that PVC leachate</w:t>
      </w:r>
      <w:r>
        <w:t xml:space="preserve"> </w:t>
      </w:r>
      <w:r>
        <w:t xml:space="preserve">exposure had no significant effect on the counts of embryos classified</w:t>
      </w:r>
      <w:r>
        <w:t xml:space="preserve"> </w:t>
      </w:r>
      <w:r>
        <w:t xml:space="preserve">as typical, uncertain/torn, or malformed (</w:t>
      </w:r>
      <w:hyperlink w:anchor="fig-survival-timing-morph">
        <w:r>
          <w:rPr>
            <w:rStyle w:val="Hyperlink"/>
          </w:rPr>
          <w:t xml:space="preserve">Figure 4</w:t>
        </w:r>
      </w:hyperlink>
      <w:r>
        <w:t xml:space="preserve"> </w:t>
      </w:r>
      <w:r>
        <w:t xml:space="preserve">c).</w:t>
      </w:r>
      <w:r>
        <w:t xml:space="preserve"> </w:t>
      </w:r>
      <w:r>
        <w:t xml:space="preserve">Overall the number of embryos found to be malformed were low compared to</w:t>
      </w:r>
      <w:r>
        <w:t xml:space="preserve"> </w:t>
      </w:r>
      <w:r>
        <w:t xml:space="preserve">typically-formed embryos.</w:t>
      </w:r>
    </w:p>
    <w:p>
      <w:pPr>
        <w:pStyle w:val="BodyText"/>
      </w:pPr>
      <w:r>
        <w:t xml:space="preserve">Anecdotaly, we observed that the secondary cell division (progressing</w:t>
      </w:r>
      <w:r>
        <w:t xml:space="preserve"> </w:t>
      </w:r>
      <w:r>
        <w:t xml:space="preserve">from the 2-cell to the 4-cell stage) initiates at the center of the two</w:t>
      </w:r>
      <w:r>
        <w:t xml:space="preserve"> </w:t>
      </w:r>
      <w:r>
        <w:t xml:space="preserve">blastomeres and extends outward (</w:t>
      </w:r>
      <w:hyperlink w:anchor="fig-mcap-dev">
        <w:r>
          <w:rPr>
            <w:rStyle w:val="Hyperlink"/>
          </w:rPr>
          <w:t xml:space="preserve">Figure 3</w:t>
        </w:r>
      </w:hyperlink>
      <w:r>
        <w:t xml:space="preserve"> </w:t>
      </w:r>
      <w:r>
        <w:t xml:space="preserve">G). This contrasts with</w:t>
      </w:r>
      <w:r>
        <w:t xml:space="preserve"> </w:t>
      </w:r>
      <w:r>
        <w:t xml:space="preserve">the primary cell division (initial cleavage) which begins at one pole of</w:t>
      </w:r>
      <w:r>
        <w:t xml:space="preserve"> </w:t>
      </w:r>
      <w:r>
        <w:t xml:space="preserve">the fertilized egg and progresses across, which is evident in the</w:t>
      </w:r>
      <w:r>
        <w:t xml:space="preserve"> </w:t>
      </w:r>
      <w:r>
        <w:t xml:space="preserve">heart-shaped embryos (</w:t>
      </w:r>
      <w:hyperlink w:anchor="fig-mcap-dev">
        <w:r>
          <w:rPr>
            <w:rStyle w:val="Hyperlink"/>
          </w:rPr>
          <w:t xml:space="preserve">Figure 3</w:t>
        </w:r>
      </w:hyperlink>
      <w:r>
        <w:t xml:space="preserve"> </w:t>
      </w:r>
      <w:r>
        <w:t xml:space="preserve">C).</w:t>
      </w:r>
    </w:p>
    <w:bookmarkEnd w:id="51"/>
    <w:bookmarkStart w:id="60" w:name="developmental-timing"/>
    <w:p>
      <w:pPr>
        <w:pStyle w:val="Heading4"/>
      </w:pPr>
      <w:r>
        <w:t xml:space="preserve">Developmental timing</w:t>
      </w:r>
    </w:p>
    <w:p>
      <w:pPr>
        <w:pStyle w:val="FirstParagraph"/>
      </w:pPr>
      <w:r>
        <w:t xml:space="preserve">We tested whether the mix of embryo developmental stages changed over</w:t>
      </w:r>
      <w:r>
        <w:t xml:space="preserve"> </w:t>
      </w:r>
      <w:r>
        <w:t xml:space="preserve">time across PVC leachate treatments using a multivariate generalized</w:t>
      </w:r>
      <w:r>
        <w:t xml:space="preserve"> </w:t>
      </w:r>
      <w:r>
        <w:t xml:space="preserve">linear model. As expected, embryo stage composition changed strongly</w:t>
      </w:r>
      <w:r>
        <w:t xml:space="preserve"> </w:t>
      </w:r>
      <w:r>
        <w:t xml:space="preserve">with time (hpf:</w:t>
      </w:r>
      <w:r>
        <w:t xml:space="preserve"> </w:t>
      </w:r>
      <w:r>
        <w:rPr>
          <w:i/>
          <w:iCs/>
        </w:rPr>
        <w:t xml:space="preserve">Dev</w:t>
      </w:r>
      <w:r>
        <w:t xml:space="preserve"> </w:t>
      </w:r>
      <w:r>
        <w:t xml:space="preserve">= 669.0,</w:t>
      </w:r>
      <w:r>
        <w:t xml:space="preserve"> </w:t>
      </w:r>
      <w:r>
        <w:rPr>
          <w:i/>
          <w:iCs/>
        </w:rPr>
        <w:t xml:space="preserve">p</w:t>
      </w:r>
      <w:r>
        <w:t xml:space="preserve"> </w:t>
      </w:r>
      <w:r>
        <w:t xml:space="preserve">&lt; 2×10</w:t>
      </w:r>
      <w:r>
        <w:rPr>
          <w:vertAlign w:val="superscript"/>
        </w:rPr>
        <w:t xml:space="preserve">-16</w:t>
      </w:r>
      <w:r>
        <w:t xml:space="preserve"> </w:t>
      </w:r>
      <w:r>
        <w:t xml:space="preserve">). At 4 hpf, most</w:t>
      </w:r>
      <w:r>
        <w:t xml:space="preserve"> </w:t>
      </w:r>
      <w:r>
        <w:t xml:space="preserve">embryos were in the egg, cleavage, or morula stages. At 9 hpf, most</w:t>
      </w:r>
      <w:r>
        <w:t xml:space="preserve"> </w:t>
      </w:r>
      <w:r>
        <w:t xml:space="preserve">embryos were in the prawnchip stage. By 14 hpf, the early gastrula stage</w:t>
      </w:r>
      <w:r>
        <w:t xml:space="preserve"> </w:t>
      </w:r>
      <w:r>
        <w:t xml:space="preserve">dominated (</w:t>
      </w:r>
      <w:hyperlink w:anchor="fig-survival-timing-morph">
        <w:r>
          <w:rPr>
            <w:rStyle w:val="Hyperlink"/>
          </w:rPr>
          <w:t xml:space="preserve">Figure 4</w:t>
        </w:r>
      </w:hyperlink>
      <w:r>
        <w:t xml:space="preserve"> </w:t>
      </w:r>
      <w:r>
        <w:t xml:space="preserve">B).</w:t>
      </w:r>
    </w:p>
    <w:p>
      <w:pPr>
        <w:pStyle w:val="BodyText"/>
      </w:pPr>
      <w:r>
        <w:t xml:space="preserve">PVC leachate exposure alone did not cause an overall shift in the stage</w:t>
      </w:r>
      <w:r>
        <w:t xml:space="preserve"> </w:t>
      </w:r>
      <w:r>
        <w:t xml:space="preserve">composition of embryos (treatment:</w:t>
      </w:r>
      <w:r>
        <w:t xml:space="preserve"> </w:t>
      </w:r>
      <w:r>
        <w:rPr>
          <w:i/>
          <w:iCs/>
        </w:rPr>
        <w:t xml:space="preserve">Dev</w:t>
      </w:r>
      <w:r>
        <w:t xml:space="preserve"> </w:t>
      </w:r>
      <w:r>
        <w:t xml:space="preserve">= 1.2,</w:t>
      </w:r>
      <w:r>
        <w:t xml:space="preserve"> </w:t>
      </w:r>
      <w:r>
        <w:rPr>
          <w:i/>
          <w:iCs/>
        </w:rPr>
        <w:t xml:space="preserve">p</w:t>
      </w:r>
      <w:r>
        <w:t xml:space="preserve"> </w:t>
      </w:r>
      <w:r>
        <w:t xml:space="preserve">= 0.999). However,</w:t>
      </w:r>
      <w:r>
        <w:t xml:space="preserve"> </w:t>
      </w:r>
      <w:r>
        <w:t xml:space="preserve">treatment effects changed across time (interaction:</w:t>
      </w:r>
      <w:r>
        <w:t xml:space="preserve"> </w:t>
      </w:r>
      <w:r>
        <w:rPr>
          <w:i/>
          <w:iCs/>
        </w:rPr>
        <w:t xml:space="preserve">Dev</w:t>
      </w:r>
      <w:r>
        <w:t xml:space="preserve"> </w:t>
      </w:r>
      <w:r>
        <w:t xml:space="preserve">= 48.1,</w:t>
      </w:r>
      <w:r>
        <w:t xml:space="preserve"> </w:t>
      </w:r>
      <w:r>
        <w:rPr>
          <w:i/>
          <w:iCs/>
        </w:rPr>
        <w:t xml:space="preserve">p</w:t>
      </w:r>
      <w:r>
        <w:t xml:space="preserve"> </w:t>
      </w:r>
      <w:r>
        <w:t xml:space="preserve">=</w:t>
      </w:r>
      <w:r>
        <w:t xml:space="preserve"> </w:t>
      </w:r>
      <w:r>
        <w:t xml:space="preserve">0.002). When stages were examined separately, we found this pattern was</w:t>
      </w:r>
      <w:r>
        <w:t xml:space="preserve"> </w:t>
      </w:r>
      <w:r>
        <w:t xml:space="preserve">driven mainly by differences in the prawnchip stage at 14 hpf (the</w:t>
      </w:r>
      <w:r>
        <w:t xml:space="preserve"> </w:t>
      </w:r>
      <w:r>
        <w:t xml:space="preserve">interaction effect is localized to a specific prawnchip stage</w:t>
      </w:r>
      <w:r>
        <w:t xml:space="preserve"> </w:t>
      </w:r>
      <w:r>
        <w:t xml:space="preserve">developmental window), with weaker trends in the egg and morula stages.</w:t>
      </w:r>
      <w:r>
        <w:t xml:space="preserve"> </w:t>
      </w:r>
      <w:r>
        <w:t xml:space="preserve">No treatment effects were detected in the cleavage or early gastrula</w:t>
      </w:r>
      <w:r>
        <w:t xml:space="preserve"> </w:t>
      </w:r>
      <w:r>
        <w:t xml:space="preserve">stages.</w:t>
      </w:r>
    </w:p>
    <w:p>
      <w:pPr>
        <w:pStyle w:val="BodyText"/>
      </w:pPr>
      <w:r>
        <w:t xml:space="preserve">Overall, these results suggest that PVC leachate did not broadly disrupt</w:t>
      </w:r>
      <w:r>
        <w:t xml:space="preserve"> </w:t>
      </w:r>
      <w:r>
        <w:t xml:space="preserve">normal developmental timing, but it may have caused small,</w:t>
      </w:r>
      <w:r>
        <w:t xml:space="preserve"> </w:t>
      </w:r>
      <w:r>
        <w:t xml:space="preserve">stage-specific changes, possibly speeding the morula to prawnchip</w:t>
      </w:r>
      <w:r>
        <w:t xml:space="preserve"> </w:t>
      </w:r>
      <w:r>
        <w:t xml:space="preserve">transition at 9 hpf, and the prawnchip to early gastrula transition at</w:t>
      </w:r>
      <w:r>
        <w:t xml:space="preserve"> </w:t>
      </w:r>
      <w:r>
        <w:t xml:space="preserve">14 hpf under low and mid, but not high leachate</w:t>
      </w:r>
      <w:r>
        <w:t xml:space="preserve"> </w:t>
      </w:r>
      <w:r>
        <w:t xml:space="preserve">(</w:t>
      </w:r>
      <w:hyperlink w:anchor="fig-timing-forest-plot">
        <w:r>
          <w:rPr>
            <w:rStyle w:val="Hyperlink"/>
          </w:rPr>
          <w:t xml:space="preserve">Figure 5</w:t>
        </w:r>
      </w:hyperlink>
      <w:r>
        <w:t xml:space="preserve">, OR</w:t>
      </w:r>
      <w:r>
        <w:t xml:space="preserve"> </w:t>
      </w:r>
      <w:hyperlink w:anchor="fig-timing-high">
        <w:r>
          <w:rPr>
            <w:rStyle w:val="Hyperlink"/>
          </w:rPr>
          <w:t xml:space="preserve">Figure 6</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55" w:name="fig-timing-forest-plot"/>
          <w:p>
            <w:pPr>
              <w:pStyle w:val="Compact"/>
              <w:jc w:val="center"/>
            </w:pPr>
            <w:r>
              <w:drawing>
                <wp:inline>
                  <wp:extent cx="5334000" cy="4000500"/>
                  <wp:effectExtent b="0" l="0" r="0" t="0"/>
                  <wp:docPr descr="" title="" id="53" name="Picture"/>
                  <a:graphic>
                    <a:graphicData uri="http://schemas.openxmlformats.org/drawingml/2006/picture">
                      <pic:pic>
                        <pic:nvPicPr>
                          <pic:cNvPr descr="figs/timing_forest_plot.png" id="54" name="Picture"/>
                          <pic:cNvPicPr>
                            <a:picLocks noChangeArrowheads="1" noChangeAspect="1"/>
                          </pic:cNvPicPr>
                        </pic:nvPicPr>
                        <pic:blipFill>
                          <a:blip r:embed="rId52"/>
                          <a:stretch>
                            <a:fillRect/>
                          </a:stretch>
                        </pic:blipFill>
                        <pic:spPr bwMode="auto">
                          <a:xfrm>
                            <a:off x="0" y="0"/>
                            <a:ext cx="5334000" cy="4000500"/>
                          </a:xfrm>
                          <a:prstGeom prst="rect">
                            <a:avLst/>
                          </a:prstGeom>
                          <a:noFill/>
                          <a:ln w="9525">
                            <a:noFill/>
                            <a:headEnd/>
                            <a:tailEnd/>
                          </a:ln>
                        </pic:spPr>
                      </pic:pic>
                    </a:graphicData>
                  </a:graphic>
                </wp:inline>
              </w:drawing>
            </w:r>
          </w:p>
          <w:p>
            <w:pPr>
              <w:jc w:val="center"/>
            </w:pPr>
            <w:pPr>
              <w:jc w:val="left"/>
              <w:spacing w:before="200"/>
              <w:pStyle w:val="ImageCaption"/>
            </w:pPr>
            <w:r>
              <w:t xml:space="preserve">Figure 5: Bootstrap predicted effects of PVC leachate on embryo developmental</w:t>
            </w:r>
            <w:r>
              <w:t xml:space="preserve"> </w:t>
            </w:r>
            <w:r>
              <w:t xml:space="preserve">stage composition over time. Points show multivariate GLM-predicted</w:t>
            </w:r>
            <w:r>
              <w:t xml:space="preserve"> </w:t>
            </w:r>
            <w:r>
              <w:t xml:space="preserve">differences in embryo counts for each developmental stage (egg,</w:t>
            </w:r>
            <w:r>
              <w:t xml:space="preserve"> </w:t>
            </w:r>
            <w:r>
              <w:t xml:space="preserve">cleavage, morula, prawnchip, early gastrula) between leachate treatments</w:t>
            </w:r>
            <w:r>
              <w:t xml:space="preserve"> </w:t>
            </w:r>
            <w:r>
              <w:t xml:space="preserve">(0.01, 0.1, 1 mg/L) and the control at 4, 9, and 14 hpf. Error bars</w:t>
            </w:r>
            <w:r>
              <w:t xml:space="preserve"> </w:t>
            </w:r>
            <w:r>
              <w:t xml:space="preserve">indicate 95% confidence intervals over 500 bootstrap iterations. The</w:t>
            </w:r>
            <w:r>
              <w:t xml:space="preserve"> </w:t>
            </w:r>
            <w:r>
              <w:t xml:space="preserve">vertical dashed line at zero denotes no difference from control; values</w:t>
            </w:r>
            <w:r>
              <w:t xml:space="preserve"> </w:t>
            </w:r>
            <w:r>
              <w:t xml:space="preserve">to the right indicate increased counts relative to control, and values</w:t>
            </w:r>
            <w:r>
              <w:t xml:space="preserve"> </w:t>
            </w:r>
            <w:r>
              <w:t xml:space="preserve">to the left indicate</w:t>
            </w:r>
            <w:r>
              <w:t xml:space="preserve"> </w:t>
            </w:r>
            <w:r>
              <w:t xml:space="preserve">decreases.</w:t>
            </w:r>
          </w:p>
          <w:bookmarkEnd w:id="55"/>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59" w:name="fig-timing-high"/>
          <w:p>
            <w:pPr>
              <w:pStyle w:val="Compact"/>
              <w:jc w:val="center"/>
            </w:pPr>
            <w:r>
              <w:drawing>
                <wp:inline>
                  <wp:extent cx="5334000" cy="3000375"/>
                  <wp:effectExtent b="0" l="0" r="0" t="0"/>
                  <wp:docPr descr="" title="" id="57" name="Picture"/>
                  <a:graphic>
                    <a:graphicData uri="http://schemas.openxmlformats.org/drawingml/2006/picture">
                      <pic:pic>
                        <pic:nvPicPr>
                          <pic:cNvPr descr="figs/timing_high.png" id="58" name="Picture"/>
                          <pic:cNvPicPr>
                            <a:picLocks noChangeArrowheads="1" noChangeAspect="1"/>
                          </pic:cNvPicPr>
                        </pic:nvPicPr>
                        <pic:blipFill>
                          <a:blip r:embed="rId56"/>
                          <a:stretch>
                            <a:fillRect/>
                          </a:stretch>
                        </pic:blipFill>
                        <pic:spPr bwMode="auto">
                          <a:xfrm>
                            <a:off x="0" y="0"/>
                            <a:ext cx="5334000" cy="3000375"/>
                          </a:xfrm>
                          <a:prstGeom prst="rect">
                            <a:avLst/>
                          </a:prstGeom>
                          <a:noFill/>
                          <a:ln w="9525">
                            <a:noFill/>
                            <a:headEnd/>
                            <a:tailEnd/>
                          </a:ln>
                        </pic:spPr>
                      </pic:pic>
                    </a:graphicData>
                  </a:graphic>
                </wp:inline>
              </w:drawing>
            </w:r>
          </w:p>
          <w:p>
            <w:pPr>
              <w:jc w:val="center"/>
            </w:pPr>
            <w:pPr>
              <w:jc w:val="left"/>
              <w:spacing w:before="200"/>
              <w:pStyle w:val="ImageCaption"/>
            </w:pPr>
            <w:r>
              <w:t xml:space="preserve">Figure 6: A. Bootstrap-predicted effects of PVC leachate on embryo developmental</w:t>
            </w:r>
            <w:r>
              <w:t xml:space="preserve"> </w:t>
            </w:r>
            <w:r>
              <w:t xml:space="preserve">stages over time. The pink arrow points to more prawnchip embryos found</w:t>
            </w:r>
            <w:r>
              <w:t xml:space="preserve"> </w:t>
            </w:r>
            <w:r>
              <w:t xml:space="preserve">in the low and middle leachate levels relative to control at 9 hours</w:t>
            </w:r>
            <w:r>
              <w:t xml:space="preserve"> </w:t>
            </w:r>
            <w:r>
              <w:t xml:space="preserve">post-fertilization (hpf), and less at 14 hpf. Green arrow points to more</w:t>
            </w:r>
            <w:r>
              <w:t xml:space="preserve"> </w:t>
            </w:r>
            <w:r>
              <w:t xml:space="preserve">early gastrula stage embryos found in the low and middle leachate levels</w:t>
            </w:r>
            <w:r>
              <w:t xml:space="preserve"> </w:t>
            </w:r>
            <w:r>
              <w:t xml:space="preserve">relative to the control at 14 hpf. Points show model-estimated</w:t>
            </w:r>
            <w:r>
              <w:t xml:space="preserve"> </w:t>
            </w:r>
            <w:r>
              <w:t xml:space="preserve">differences in embryo counts (leachate vs. control) for each stage (egg,</w:t>
            </w:r>
            <w:r>
              <w:t xml:space="preserve"> </w:t>
            </w:r>
            <w:r>
              <w:t xml:space="preserve">cleavage, morula, prawnchip, early gastrula) at 4, 9, and 14 hpf across</w:t>
            </w:r>
            <w:r>
              <w:t xml:space="preserve"> </w:t>
            </w:r>
            <w:r>
              <w:t xml:space="preserve">three levels (0.01, 0.1, 1 mg/L). Error bars show 95% confidence</w:t>
            </w:r>
            <w:r>
              <w:t xml:space="preserve"> </w:t>
            </w:r>
            <w:r>
              <w:t xml:space="preserve">intervals from 500 bootstrap iterations. The dashed line indicates no</w:t>
            </w:r>
            <w:r>
              <w:t xml:space="preserve"> </w:t>
            </w:r>
            <w:r>
              <w:t xml:space="preserve">difference from control; values above zero indicate increases and values</w:t>
            </w:r>
            <w:r>
              <w:t xml:space="preserve"> </w:t>
            </w:r>
            <w:r>
              <w:t xml:space="preserve">below zero indicate decreases. B. Legend of embryo stages. C. Proportion</w:t>
            </w:r>
            <w:r>
              <w:t xml:space="preserve"> </w:t>
            </w:r>
            <w:r>
              <w:t xml:space="preserve">stacked barplot showing the percent makeup of surviving embryo stages at</w:t>
            </w:r>
            <w:r>
              <w:t xml:space="preserve"> </w:t>
            </w:r>
            <w:r>
              <w:t xml:space="preserve">each developmental endpoint sampled (4, 9, 14 hpf). Notice how there are</w:t>
            </w:r>
            <w:r>
              <w:t xml:space="preserve"> </w:t>
            </w:r>
            <w:r>
              <w:t xml:space="preserve">relatively more cleavage in low and mid levels at 4 hpf, relatively more</w:t>
            </w:r>
            <w:r>
              <w:t xml:space="preserve"> </w:t>
            </w:r>
            <w:r>
              <w:t xml:space="preserve">prawnchip in low and mid levels at 9 hpf, and relatively more early</w:t>
            </w:r>
            <w:r>
              <w:t xml:space="preserve"> </w:t>
            </w:r>
            <w:r>
              <w:t xml:space="preserve">gastrula in low and mid levels at 14</w:t>
            </w:r>
            <w:r>
              <w:t xml:space="preserve"> </w:t>
            </w:r>
            <w:r>
              <w:t xml:space="preserve">hpf.</w:t>
            </w:r>
          </w:p>
          <w:bookmarkEnd w:id="59"/>
        </w:tc>
      </w:tr>
    </w:tbl>
    <w:bookmarkEnd w:id="60"/>
    <w:bookmarkEnd w:id="61"/>
    <w:bookmarkStart w:id="82" w:name="h2-gene-expression"/>
    <w:p>
      <w:pPr>
        <w:pStyle w:val="Heading3"/>
      </w:pPr>
      <w:r>
        <w:rPr>
          <w:i/>
          <w:iCs/>
        </w:rPr>
        <w:t xml:space="preserve">H</w:t>
      </w:r>
      <w:r>
        <w:rPr>
          <w:vertAlign w:val="subscript"/>
        </w:rPr>
        <w:t xml:space="preserve">2</w:t>
      </w:r>
      <w:r>
        <w:t xml:space="preserve">: Gene expression</w:t>
      </w:r>
    </w:p>
    <w:bookmarkStart w:id="66" w:name="global-expression"/>
    <w:p>
      <w:pPr>
        <w:pStyle w:val="Heading4"/>
      </w:pPr>
      <w:r>
        <w:t xml:space="preserve">Global expression</w:t>
      </w:r>
    </w:p>
    <w:p>
      <w:pPr>
        <w:pStyle w:val="FirstParagraph"/>
      </w:pPr>
      <w:r>
        <w:t xml:space="preserve">Principal component analysis (PCA) was performed on variance-stabilized</w:t>
      </w:r>
      <w:r>
        <w:t xml:space="preserve"> </w:t>
      </w:r>
      <w:r>
        <w:t xml:space="preserve">gene counts using the top 500 most variable genes as an exploratory tool</w:t>
      </w:r>
      <w:r>
        <w:t xml:space="preserve"> </w:t>
      </w:r>
      <w:r>
        <w:t xml:space="preserve">to assess global patterns of variation. The first two principal</w:t>
      </w:r>
      <w:r>
        <w:t xml:space="preserve"> </w:t>
      </w:r>
      <w:r>
        <w:t xml:space="preserve">components accounted for 72.4% of the total variance among samples and</w:t>
      </w:r>
      <w:r>
        <w:t xml:space="preserve"> </w:t>
      </w:r>
      <w:r>
        <w:t xml:space="preserve">revealed strong clustering by early embryonic stage, with separation</w:t>
      </w:r>
      <w:r>
        <w:t xml:space="preserve"> </w:t>
      </w:r>
      <w:r>
        <w:t xml:space="preserve">primarily along principal component 1 (PC1, 53.9% of global sample</w:t>
      </w:r>
      <w:r>
        <w:t xml:space="preserve"> </w:t>
      </w:r>
      <w:r>
        <w:t xml:space="preserve">structure variance) (</w:t>
      </w:r>
      <w:hyperlink w:anchor="fig-pca-heat">
        <w:r>
          <w:rPr>
            <w:rStyle w:val="Hyperlink"/>
          </w:rPr>
          <w:t xml:space="preserve">Figure 7</w:t>
        </w:r>
      </w:hyperlink>
      <w:r>
        <w:t xml:space="preserve"> </w:t>
      </w:r>
      <w:r>
        <w:t xml:space="preserve">A). Samples formed three distinct,</w:t>
      </w:r>
      <w:r>
        <w:t xml:space="preserve"> </w:t>
      </w:r>
      <w:r>
        <w:t xml:space="preserve">non-overlapping clusters with minimal within-group dispersion,</w:t>
      </w:r>
      <w:r>
        <w:t xml:space="preserve"> </w:t>
      </w:r>
      <w:r>
        <w:t xml:space="preserve">indicating that stage represents the dominant source of variance in the</w:t>
      </w:r>
      <w:r>
        <w:t xml:space="preserve"> </w:t>
      </w:r>
      <w:r>
        <w:t xml:space="preserve">dataset. Principal component 2 (PC2, 18.5% of global sample structure</w:t>
      </w:r>
      <w:r>
        <w:t xml:space="preserve"> </w:t>
      </w:r>
      <w:r>
        <w:t xml:space="preserve">variance) primarily captures the variation within groups, indicating</w:t>
      </w:r>
      <w:r>
        <w:t xml:space="preserve"> </w:t>
      </w:r>
      <w:r>
        <w:t xml:space="preserve">that secondary sources of variation are present but do not override the</w:t>
      </w:r>
      <w:r>
        <w:t xml:space="preserve"> </w:t>
      </w:r>
      <w:r>
        <w:t xml:space="preserve">dominant stage effect. Treatment-associated effects of PVC leachate were</w:t>
      </w:r>
      <w:r>
        <w:t xml:space="preserve"> </w:t>
      </w:r>
      <w:r>
        <w:t xml:space="preserve">not readily apparent in the leading principal components. The pronounced</w:t>
      </w:r>
      <w:r>
        <w:t xml:space="preserve"> </w:t>
      </w:r>
      <w:r>
        <w:t xml:space="preserve">stage-driven structure is consistent with large-scale transcriptional</w:t>
      </w:r>
      <w:r>
        <w:t xml:space="preserve"> </w:t>
      </w:r>
      <w:r>
        <w:t xml:space="preserve">reprogramming during early embryogenesis (</w:t>
      </w:r>
      <w:r>
        <w:t xml:space="preserve"> </w:t>
      </w:r>
      <w:hyperlink w:anchor="fig-pca-heat">
        <w:r>
          <w:rPr>
            <w:rStyle w:val="Hyperlink"/>
          </w:rPr>
          <w:t xml:space="preserve">Figure 7</w:t>
        </w:r>
      </w:hyperlink>
      <w:r>
        <w:t xml:space="preserve"> </w:t>
      </w:r>
      <w:r>
        <w:t xml:space="preserve">B).</w:t>
      </w:r>
    </w:p>
    <w:tbl>
      <w:tblPr>
        <w:tblStyle w:val="Table"/>
        <w:tblW w:type="pct" w:w="5000"/>
        <w:tblLayout w:type="fixed"/>
        <w:tblLook w:firstRow="0" w:lastRow="0" w:firstColumn="0" w:lastColumn="0" w:noHBand="0" w:noVBand="0" w:val="0000"/>
      </w:tblPr>
      <w:tblGrid>
        <w:gridCol w:w="7920"/>
      </w:tblGrid>
      <w:tr>
        <w:tc>
          <w:tcPr/>
          <w:bookmarkStart w:id="65" w:name="fig-pca-heat"/>
          <w:p>
            <w:pPr>
              <w:pStyle w:val="Compact"/>
              <w:jc w:val="center"/>
            </w:pPr>
            <w:r>
              <w:drawing>
                <wp:inline>
                  <wp:extent cx="5334000" cy="7334249"/>
                  <wp:effectExtent b="0" l="0" r="0" t="0"/>
                  <wp:docPr descr="" title="" id="63" name="Picture"/>
                  <a:graphic>
                    <a:graphicData uri="http://schemas.openxmlformats.org/drawingml/2006/picture">
                      <pic:pic>
                        <pic:nvPicPr>
                          <pic:cNvPr descr="figs/fig_pca_heatmap_fullgene.png" id="64" name="Picture"/>
                          <pic:cNvPicPr>
                            <a:picLocks noChangeArrowheads="1" noChangeAspect="1"/>
                          </pic:cNvPicPr>
                        </pic:nvPicPr>
                        <pic:blipFill>
                          <a:blip r:embed="rId62"/>
                          <a:stretch>
                            <a:fillRect/>
                          </a:stretch>
                        </pic:blipFill>
                        <pic:spPr bwMode="auto">
                          <a:xfrm>
                            <a:off x="0" y="0"/>
                            <a:ext cx="5334000" cy="7334249"/>
                          </a:xfrm>
                          <a:prstGeom prst="rect">
                            <a:avLst/>
                          </a:prstGeom>
                          <a:noFill/>
                          <a:ln w="9525">
                            <a:noFill/>
                            <a:headEnd/>
                            <a:tailEnd/>
                          </a:ln>
                        </pic:spPr>
                      </pic:pic>
                    </a:graphicData>
                  </a:graphic>
                </wp:inline>
              </w:drawing>
            </w:r>
          </w:p>
          <w:p>
            <w:pPr>
              <w:jc w:val="center"/>
            </w:pPr>
            <w:pPr>
              <w:jc w:val="left"/>
              <w:spacing w:before="200"/>
              <w:pStyle w:val="ImageCaption"/>
            </w:pPr>
            <w:r>
              <w:t xml:space="preserve">Figure 7: Principal Component Analysis (PCA) of VST-normalized gene expression</w:t>
            </w:r>
            <w:r>
              <w:t xml:space="preserve"> </w:t>
            </w:r>
            <w:r>
              <w:t xml:space="preserve">across all samples.</w:t>
            </w:r>
          </w:p>
          <w:bookmarkEnd w:id="65"/>
        </w:tc>
      </w:tr>
    </w:tbl>
    <w:p>
      <w:pPr>
        <w:pStyle w:val="BodyText"/>
      </w:pPr>
      <w:r>
        <w:t xml:space="preserve">We followed visual PCA exploration with a permutational multivariate</w:t>
      </w:r>
      <w:r>
        <w:t xml:space="preserve"> </w:t>
      </w:r>
      <w:r>
        <w:t xml:space="preserve">analysis of variance (PERMANOVA) to statistically test for</w:t>
      </w:r>
      <w:r>
        <w:t xml:space="preserve"> </w:t>
      </w:r>
      <w:r>
        <w:t xml:space="preserve">treatment-associated effects. A PERMANOVA with 999 permutations was</w:t>
      </w:r>
      <w:r>
        <w:t xml:space="preserve"> </w:t>
      </w:r>
      <w:r>
        <w:t xml:space="preserve">performed on the Euclidean distance matrix of transformed gene</w:t>
      </w:r>
      <w:r>
        <w:t xml:space="preserve"> </w:t>
      </w:r>
      <w:r>
        <w:t xml:space="preserve">expression values to assess the effects of leachate level, developmental</w:t>
      </w:r>
      <w:r>
        <w:t xml:space="preserve"> </w:t>
      </w:r>
      <w:r>
        <w:t xml:space="preserve">stage, and their interaction on global expression profiles while</w:t>
      </w:r>
      <w:r>
        <w:t xml:space="preserve"> </w:t>
      </w:r>
      <w:r>
        <w:t xml:space="preserve">controlling for variation among spawning nights (permutations were</w:t>
      </w:r>
      <w:r>
        <w:t xml:space="preserve"> </w:t>
      </w:r>
      <w:r>
        <w:t xml:space="preserve">restricted or</w:t>
      </w:r>
      <w:r>
        <w:t xml:space="preserve"> </w:t>
      </w:r>
      <w:r>
        <w:t xml:space="preserve">‘stratified’</w:t>
      </w:r>
      <w:r>
        <w:t xml:space="preserve"> </w:t>
      </w:r>
      <w:r>
        <w:t xml:space="preserve">within spawn night by setting the strata =</w:t>
      </w:r>
      <w:r>
        <w:t xml:space="preserve"> </w:t>
      </w:r>
      <w:r>
        <w:t xml:space="preserve">spawn_night). The PERMANOVA identified developmental stage as the</w:t>
      </w:r>
      <w:r>
        <w:t xml:space="preserve"> </w:t>
      </w:r>
      <w:r>
        <w:t xml:space="preserve">dominant driver of multivariate expression differences, explaining ~59%</w:t>
      </w:r>
      <w:r>
        <w:t xml:space="preserve"> </w:t>
      </w:r>
      <w:r>
        <w:t xml:space="preserve">of the overall variance in gene expression (</w:t>
      </w:r>
      <w:r>
        <w:t xml:space="preserve"> </w:t>
      </w:r>
      <w:r>
        <w:rPr>
          <w:i/>
          <w:iCs/>
        </w:rPr>
        <w:t xml:space="preserve">R²</w:t>
      </w:r>
      <w:r>
        <w:t xml:space="preserve"> </w:t>
      </w:r>
      <w:r>
        <w:t xml:space="preserve">= 0.59,</w:t>
      </w:r>
      <w:r>
        <w:t xml:space="preserve"> </w:t>
      </w:r>
      <w:r>
        <w:rPr>
          <w:i/>
          <w:iCs/>
        </w:rPr>
        <w:t xml:space="preserve">F</w:t>
      </w:r>
      <w:r>
        <w:t xml:space="preserve"> </w:t>
      </w:r>
      <w:r>
        <w:t xml:space="preserve">= 41.22,</w:t>
      </w:r>
      <w:r>
        <w:t xml:space="preserve"> </w:t>
      </w:r>
      <w:r>
        <w:rPr>
          <w:i/>
          <w:iCs/>
        </w:rPr>
        <w:t xml:space="preserve">p</w:t>
      </w:r>
      <w:r>
        <w:t xml:space="preserve"> </w:t>
      </w:r>
      <w:r>
        <w:t xml:space="preserve">= 0.001 ), reflecting our strong stage-specific transcriptional</w:t>
      </w:r>
      <w:r>
        <w:t xml:space="preserve"> </w:t>
      </w:r>
      <w:r>
        <w:t xml:space="preserve">patterns. In contrast, neither leachate level (</w:t>
      </w:r>
      <w:r>
        <w:t xml:space="preserve"> </w:t>
      </w:r>
      <w:r>
        <w:rPr>
          <w:i/>
          <w:iCs/>
        </w:rPr>
        <w:t xml:space="preserve">R²</w:t>
      </w:r>
      <w:r>
        <w:t xml:space="preserve"> </w:t>
      </w:r>
      <w:r>
        <w:t xml:space="preserve">= 0.02,</w:t>
      </w:r>
      <w:r>
        <w:t xml:space="preserve"> </w:t>
      </w:r>
      <w:r>
        <w:rPr>
          <w:i/>
          <w:iCs/>
        </w:rPr>
        <w:t xml:space="preserve">F</w:t>
      </w:r>
      <w:r>
        <w:t xml:space="preserve"> </w:t>
      </w:r>
      <w:r>
        <w:t xml:space="preserve">= 1.09,</w:t>
      </w:r>
      <w:r>
        <w:t xml:space="preserve"> </w:t>
      </w:r>
      <w:r>
        <w:rPr>
          <w:i/>
          <w:iCs/>
        </w:rPr>
        <w:t xml:space="preserve">p</w:t>
      </w:r>
      <w:r>
        <w:t xml:space="preserve"> </w:t>
      </w:r>
      <w:r>
        <w:t xml:space="preserve">= 0.338 ) nor the interaction between leachate and stage (</w:t>
      </w:r>
      <w:r>
        <w:t xml:space="preserve"> </w:t>
      </w:r>
      <w:r>
        <w:rPr>
          <w:i/>
          <w:iCs/>
        </w:rPr>
        <w:t xml:space="preserve">R²</w:t>
      </w:r>
      <w:r>
        <w:t xml:space="preserve"> </w:t>
      </w:r>
      <w:r>
        <w:t xml:space="preserve">=</w:t>
      </w:r>
      <w:r>
        <w:t xml:space="preserve"> </w:t>
      </w:r>
      <w:r>
        <w:t xml:space="preserve">0.04,</w:t>
      </w:r>
      <w:r>
        <w:t xml:space="preserve"> </w:t>
      </w:r>
      <w:r>
        <w:rPr>
          <w:i/>
          <w:iCs/>
        </w:rPr>
        <w:t xml:space="preserve">F</w:t>
      </w:r>
      <w:r>
        <w:t xml:space="preserve"> </w:t>
      </w:r>
      <w:r>
        <w:t xml:space="preserve">= 0.81,</w:t>
      </w:r>
      <w:r>
        <w:t xml:space="preserve"> </w:t>
      </w:r>
      <w:r>
        <w:rPr>
          <w:i/>
          <w:iCs/>
        </w:rPr>
        <w:t xml:space="preserve">p</w:t>
      </w:r>
      <w:r>
        <w:t xml:space="preserve"> </w:t>
      </w:r>
      <w:r>
        <w:t xml:space="preserve">= 0.679 ) significantly influenced the</w:t>
      </w:r>
      <w:r>
        <w:t xml:space="preserve"> </w:t>
      </w:r>
      <w:r>
        <w:t xml:space="preserve">multivariate expression structure. Residual variation accounted for 35%</w:t>
      </w:r>
      <w:r>
        <w:t xml:space="preserve"> </w:t>
      </w:r>
      <w:r>
        <w:t xml:space="preserve">of the total variance. Tests for homogeneity of multivariate dispersion</w:t>
      </w:r>
      <w:r>
        <w:t xml:space="preserve"> </w:t>
      </w:r>
      <w:r>
        <w:t xml:space="preserve">revealed significant within-stage differences (</w:t>
      </w:r>
      <w:r>
        <w:rPr>
          <w:i/>
          <w:iCs/>
        </w:rPr>
        <w:t xml:space="preserve">F</w:t>
      </w:r>
      <w:r>
        <w:t xml:space="preserve"> </w:t>
      </w:r>
      <w:r>
        <w:t xml:space="preserve">= 15.03,</w:t>
      </w:r>
      <w:r>
        <w:t xml:space="preserve"> </w:t>
      </w:r>
      <w:r>
        <w:rPr>
          <w:i/>
          <w:iCs/>
        </w:rPr>
        <w:t xml:space="preserve">p</w:t>
      </w:r>
      <w:r>
        <w:t xml:space="preserve"> </w:t>
      </w:r>
      <w:r>
        <w:t xml:space="preserve">= 0.001,</w:t>
      </w:r>
      <w:r>
        <w:t xml:space="preserve"> </w:t>
      </w:r>
      <w:r>
        <w:t xml:space="preserve">999 permutations), suggesting that the observed PERMANOVA stage effect</w:t>
      </w:r>
      <w:r>
        <w:t xml:space="preserve"> </w:t>
      </w:r>
      <w:r>
        <w:t xml:space="preserve">reflects a combination of strong centroid separation</w:t>
      </w:r>
      <w:r>
        <w:t xml:space="preserve"> </w:t>
      </w:r>
      <w:r>
        <w:rPr>
          <w:i/>
          <w:iCs/>
        </w:rPr>
        <w:t xml:space="preserve">and</w:t>
      </w:r>
      <w:r>
        <w:t xml:space="preserve"> </w:t>
      </w:r>
      <w:r>
        <w:t xml:space="preserve">variable</w:t>
      </w:r>
      <w:r>
        <w:t xml:space="preserve"> </w:t>
      </w:r>
      <w:r>
        <w:t xml:space="preserve">spread. Despite differences in dispersion, the magnitude of the stage</w:t>
      </w:r>
      <w:r>
        <w:t xml:space="preserve"> </w:t>
      </w:r>
      <w:r>
        <w:t xml:space="preserve">effect and the clear separation observed in PCA indicate that</w:t>
      </w:r>
      <w:r>
        <w:t xml:space="preserve"> </w:t>
      </w:r>
      <w:r>
        <w:t xml:space="preserve">developmental stage represents robust, biologically meaningful early</w:t>
      </w:r>
      <w:r>
        <w:t xml:space="preserve"> </w:t>
      </w:r>
      <w:r>
        <w:t xml:space="preserve">developmental gene expression programs.</w:t>
      </w:r>
    </w:p>
    <w:bookmarkEnd w:id="66"/>
    <w:bookmarkStart w:id="72" w:name="deg-clusters"/>
    <w:p>
      <w:pPr>
        <w:pStyle w:val="Heading4"/>
      </w:pPr>
      <w:r>
        <w:t xml:space="preserve">DEG clusters</w:t>
      </w:r>
    </w:p>
    <w:p>
      <w:pPr>
        <w:pStyle w:val="FirstParagraph"/>
      </w:pPr>
      <w:r>
        <w:t xml:space="preserve">There are ~56K genes in the</w:t>
      </w:r>
      <w:r>
        <w:t xml:space="preserve"> </w:t>
      </w:r>
      <w:r>
        <w:rPr>
          <w:i/>
          <w:iCs/>
        </w:rPr>
        <w:t xml:space="preserve">M. capitata</w:t>
      </w:r>
      <w:r>
        <w:t xml:space="preserve"> </w:t>
      </w:r>
      <w:r>
        <w:t xml:space="preserve">genome</w:t>
      </w:r>
      <w:r>
        <w:t xml:space="preserve"> </w:t>
      </w:r>
      <w:r>
        <w:t xml:space="preserve">(Stephens et al. 2022)</w:t>
      </w:r>
      <w:r>
        <w:t xml:space="preserve">, of</w:t>
      </w:r>
      <w:r>
        <w:t xml:space="preserve"> </w:t>
      </w:r>
      <w:r>
        <w:t xml:space="preserve">which we filtered to a test group of 12,221 genes. Of the 12,221 genes</w:t>
      </w:r>
      <w:r>
        <w:t xml:space="preserve"> </w:t>
      </w:r>
      <w:r>
        <w:t xml:space="preserve">tested with DESeq2, we found 130 were differentially expressed due to</w:t>
      </w:r>
      <w:r>
        <w:t xml:space="preserve"> </w:t>
      </w:r>
      <w:r>
        <w:t xml:space="preserve">the interaction between leachate and stage. We will refer to these as</w:t>
      </w:r>
      <w:r>
        <w:t xml:space="preserve"> </w:t>
      </w:r>
      <w:r>
        <w:t xml:space="preserve">the leachate-responsive DEGs.</w:t>
      </w:r>
    </w:p>
    <w:p>
      <w:pPr>
        <w:pStyle w:val="BodyText"/>
      </w:pPr>
      <w:r>
        <w:t xml:space="preserve">Among the 130 leachate-responsive DEGs, trajectory-based clustering</w:t>
      </w:r>
      <w:r>
        <w:t xml:space="preserve"> </w:t>
      </w:r>
      <w:r>
        <w:t xml:space="preserve">using the DEGreport v 1.44.0 R package and the degPatterns function</w:t>
      </w:r>
      <w:r>
        <w:t xml:space="preserve"> </w:t>
      </w:r>
      <w:r>
        <w:t xml:space="preserve">found 128 genes that fit into one of three gene expression patterns</w:t>
      </w:r>
      <w:r>
        <w:t xml:space="preserve"> </w:t>
      </w:r>
      <w:r>
        <w:t xml:space="preserve">(</w:t>
      </w:r>
      <w:hyperlink w:anchor="fig-cluster-zscores">
        <w:r>
          <w:rPr>
            <w:rStyle w:val="Hyperlink"/>
          </w:rPr>
          <w:t xml:space="preserve">Figure 8</w:t>
        </w:r>
      </w:hyperlink>
      <w:r>
        <w:t xml:space="preserve">). These expression patterns are structured by</w:t>
      </w:r>
      <w:r>
        <w:t xml:space="preserve"> </w:t>
      </w:r>
      <w:r>
        <w:t xml:space="preserve">developmental timing, with groups exhibiting highest relative transcript</w:t>
      </w:r>
      <w:r>
        <w:t xml:space="preserve"> </w:t>
      </w:r>
      <w:r>
        <w:t xml:space="preserve">abundance at cleavage (31 genes), prawn-chip (25 genes), or early</w:t>
      </w:r>
      <w:r>
        <w:t xml:space="preserve"> </w:t>
      </w:r>
      <w:r>
        <w:t xml:space="preserve">gastrula (75 genes) stages, respectively (</w:t>
      </w:r>
      <w:hyperlink w:anchor="fig-cluster-zscores">
        <w:r>
          <w:rPr>
            <w:rStyle w:val="Hyperlink"/>
          </w:rPr>
          <w:t xml:space="preserve">Figure 8</w:t>
        </w:r>
      </w:hyperlink>
      <w:r>
        <w:t xml:space="preserve"> </w:t>
      </w:r>
      <w:r>
        <w:t xml:space="preserve">A-C). Two</w:t>
      </w:r>
      <w:r>
        <w:t xml:space="preserve"> </w:t>
      </w:r>
      <w:r>
        <w:t xml:space="preserve">leachate-responsive DEGs did not fit into any of these patterns, and</w:t>
      </w:r>
      <w:r>
        <w:t xml:space="preserve"> </w:t>
      </w:r>
      <w:r>
        <w:t xml:space="preserve">were excluded from downstream analysis. Leachate effects within these</w:t>
      </w:r>
      <w:r>
        <w:t xml:space="preserve"> </w:t>
      </w:r>
      <w:r>
        <w:t xml:space="preserve">clusters were modest, with leachate treatments exhibiting subtle</w:t>
      </w:r>
      <w:r>
        <w:t xml:space="preserve"> </w:t>
      </w:r>
      <w:r>
        <w:t xml:space="preserve">deviations compared to the control samples most evident at stages where</w:t>
      </w:r>
      <w:r>
        <w:t xml:space="preserve"> </w:t>
      </w:r>
      <w:r>
        <w:t xml:space="preserve">baseline expression was lowest.</w:t>
      </w:r>
    </w:p>
    <w:tbl>
      <w:tblPr>
        <w:tblStyle w:val="Table"/>
        <w:tblW w:type="pct" w:w="5000"/>
        <w:tblLayout w:type="fixed"/>
        <w:tblLook w:firstRow="0" w:lastRow="0" w:firstColumn="0" w:lastColumn="0" w:noHBand="0" w:noVBand="0" w:val="0000"/>
      </w:tblPr>
      <w:tblGrid>
        <w:gridCol w:w="7920"/>
      </w:tblGrid>
      <w:tr>
        <w:tc>
          <w:tcPr/>
          <w:bookmarkStart w:id="71" w:name="fig-cluster-zscores"/>
          <w:p>
            <w:pPr>
              <w:pStyle w:val="Compact"/>
              <w:jc w:val="center"/>
            </w:pPr>
            <w:bookmarkStart w:id="70" w:name="fig-cluster-zscores"/>
            <w:r>
              <w:drawing>
                <wp:inline>
                  <wp:extent cx="5334000" cy="4000499"/>
                  <wp:effectExtent b="0" l="0" r="0" t="0"/>
                  <wp:docPr descr="" title="" id="68" name="Picture"/>
                  <a:graphic>
                    <a:graphicData uri="http://schemas.openxmlformats.org/drawingml/2006/picture">
                      <pic:pic>
                        <pic:nvPicPr>
                          <pic:cNvPr descr="figs/cluster_zscores.png" id="69" name="Picture"/>
                          <pic:cNvPicPr>
                            <a:picLocks noChangeArrowheads="1" noChangeAspect="1"/>
                          </pic:cNvPicPr>
                        </pic:nvPicPr>
                        <pic:blipFill>
                          <a:blip r:embed="rId67"/>
                          <a:stretch>
                            <a:fillRect/>
                          </a:stretch>
                        </pic:blipFill>
                        <pic:spPr bwMode="auto">
                          <a:xfrm>
                            <a:off x="0" y="0"/>
                            <a:ext cx="5334000" cy="4000499"/>
                          </a:xfrm>
                          <a:prstGeom prst="rect">
                            <a:avLst/>
                          </a:prstGeom>
                          <a:noFill/>
                          <a:ln w="9525">
                            <a:noFill/>
                            <a:headEnd/>
                            <a:tailEnd/>
                          </a:ln>
                        </pic:spPr>
                      </pic:pic>
                    </a:graphicData>
                  </a:graphic>
                </wp:inline>
              </w:drawing>
            </w:r>
            <w:bookmarkEnd w:id="70"/>
          </w:p>
          <w:p>
            <w:pPr>
              <w:jc w:val="center"/>
            </w:pPr>
            <w:pPr>
              <w:jc w:val="left"/>
              <w:spacing w:before="200"/>
              <w:pStyle w:val="ImageCaption"/>
            </w:pPr>
            <w:r>
              <w:t xml:space="preserve">Figure 8</w:t>
            </w:r>
          </w:p>
          <w:bookmarkEnd w:id="71"/>
        </w:tc>
      </w:tr>
    </w:tbl>
    <w:p>
      <w:pPr>
        <w:pStyle w:val="BodyText"/>
      </w:pPr>
      <w:r>
        <w:t xml:space="preserve">In contrast, the DEGs associated with development (10,793 genes) were</w:t>
      </w:r>
      <w:r>
        <w:t xml:space="preserve"> </w:t>
      </w:r>
      <w:r>
        <w:t xml:space="preserve">analyzed using weighted gene co-expression network analysis (WGCNA) with</w:t>
      </w:r>
      <w:r>
        <w:t xml:space="preserve"> </w:t>
      </w:r>
      <w:r>
        <w:t xml:space="preserve">the WGCNA v 1.73 R package</w:t>
      </w:r>
      <w:r>
        <w:t xml:space="preserve"> </w:t>
      </w:r>
      <w:r>
        <w:t xml:space="preserve">(Langfelder and Horvath 2008)</w:t>
      </w:r>
      <w:r>
        <w:t xml:space="preserve">, which identified six</w:t>
      </w:r>
      <w:r>
        <w:t xml:space="preserve"> </w:t>
      </w:r>
      <w:r>
        <w:t xml:space="preserve">modules ranging in size from 326 to 2,805 genes. Module eigengene</w:t>
      </w:r>
      <w:r>
        <w:t xml:space="preserve"> </w:t>
      </w:r>
      <w:r>
        <w:t xml:space="preserve">profiles revealed four dominant developmental programs (expression</w:t>
      </w:r>
      <w:r>
        <w:t xml:space="preserve"> </w:t>
      </w:r>
      <w:r>
        <w:t xml:space="preserve">patterns): a cleavage-high program characterized by decreases in</w:t>
      </w:r>
      <w:r>
        <w:t xml:space="preserve"> </w:t>
      </w:r>
      <w:r>
        <w:t xml:space="preserve">expression over developmental time, two prawn-chip–associated programs</w:t>
      </w:r>
      <w:r>
        <w:t xml:space="preserve"> </w:t>
      </w:r>
      <w:r>
        <w:t xml:space="preserve">showing either up-regulation (hump or inverted-U-shaped expression</w:t>
      </w:r>
      <w:r>
        <w:t xml:space="preserve"> </w:t>
      </w:r>
      <w:r>
        <w:t xml:space="preserve">profile) or mid-stage suppression (valley or U-shaped expression</w:t>
      </w:r>
      <w:r>
        <w:t xml:space="preserve"> </w:t>
      </w:r>
      <w:r>
        <w:t xml:space="preserve">profile), and late developmental programs with increasing expression</w:t>
      </w:r>
      <w:r>
        <w:t xml:space="preserve"> </w:t>
      </w:r>
      <w:r>
        <w:t xml:space="preserve">toward early gastrulation. These modules represent coordinated</w:t>
      </w:r>
      <w:r>
        <w:t xml:space="preserve"> </w:t>
      </w:r>
      <w:r>
        <w:t xml:space="preserve">transcriptional programs associated with embryonic progression and were</w:t>
      </w:r>
      <w:r>
        <w:t xml:space="preserve"> </w:t>
      </w:r>
      <w:r>
        <w:t xml:space="preserve">retained for downstream GO functional enrichment analyses. 149</w:t>
      </w:r>
      <w:r>
        <w:t xml:space="preserve"> </w:t>
      </w:r>
      <w:r>
        <w:t xml:space="preserve">developmental DEGs were not assigned to a cluster in the WGCNA, and were</w:t>
      </w:r>
      <w:r>
        <w:t xml:space="preserve"> </w:t>
      </w:r>
      <w:r>
        <w:t xml:space="preserve">excluded from downstream analysis.</w:t>
      </w:r>
    </w:p>
    <w:p>
      <w:pPr>
        <w:pStyle w:val="BodyText"/>
      </w:pPr>
      <w:r>
        <w:t xml:space="preserve">All 130 leachate-responsive DEGs are also listed in the genes that</w:t>
      </w:r>
      <w:r>
        <w:t xml:space="preserve"> </w:t>
      </w:r>
      <w:r>
        <w:t xml:space="preserve">change across developmental stage; indicating that the shifts in gene</w:t>
      </w:r>
      <w:r>
        <w:t xml:space="preserve"> </w:t>
      </w:r>
      <w:r>
        <w:t xml:space="preserve">expression detected across leachate treatments are nested within the</w:t>
      </w:r>
      <w:r>
        <w:t xml:space="preserve"> </w:t>
      </w:r>
      <w:r>
        <w:t xml:space="preserve">larger shifts in gene expression occurring over developmental time.</w:t>
      </w:r>
    </w:p>
    <w:bookmarkEnd w:id="72"/>
    <w:bookmarkStart w:id="81" w:name="summary-of-goslim-terms"/>
    <w:p>
      <w:pPr>
        <w:pStyle w:val="Heading4"/>
      </w:pPr>
      <w:r>
        <w:t xml:space="preserve">Summary of GOslim terms</w:t>
      </w:r>
    </w:p>
    <w:p>
      <w:pPr>
        <w:pStyle w:val="FirstParagraph"/>
      </w:pPr>
      <w:r>
        <w:t xml:space="preserve">Of the 12,221 genes included in the DESeq2 testing universe, 6,846 (56%)</w:t>
      </w:r>
      <w:r>
        <w:t xml:space="preserve"> </w:t>
      </w:r>
      <w:r>
        <w:t xml:space="preserve">had at least one Gene Ontology (GO) annotation. GO annotation coverage</w:t>
      </w:r>
      <w:r>
        <w:t xml:space="preserve"> </w:t>
      </w:r>
      <w:r>
        <w:t xml:space="preserve">among leachate-responsive differentially expressed genes (DEGs) was high</w:t>
      </w:r>
      <w:r>
        <w:t xml:space="preserve"> </w:t>
      </w:r>
      <w:r>
        <w:t xml:space="preserve">across all stage-associated expression patterns, including 27/31 (87%)</w:t>
      </w:r>
      <w:r>
        <w:t xml:space="preserve"> </w:t>
      </w:r>
      <w:r>
        <w:t xml:space="preserve">genes in the cleavage-associated (4 hpf) pattern, 19/25 (76%) genes in</w:t>
      </w:r>
      <w:r>
        <w:t xml:space="preserve"> </w:t>
      </w:r>
      <w:r>
        <w:t xml:space="preserve">the prawnchip-associated (9 hpf) pattern, and 62/72 (86%) genes in the</w:t>
      </w:r>
      <w:r>
        <w:t xml:space="preserve"> </w:t>
      </w:r>
      <w:r>
        <w:t xml:space="preserve">early gastrula-associated (14 hpf) pattern. GOseq enrichment analysis</w:t>
      </w:r>
      <w:r>
        <w:t xml:space="preserve"> </w:t>
      </w:r>
      <w:r>
        <w:t xml:space="preserve">did not identify any significantly enriched biological processes after</w:t>
      </w:r>
      <w:r>
        <w:t xml:space="preserve"> </w:t>
      </w:r>
      <w:r>
        <w:t xml:space="preserve">correction for gene-length bias (</w:t>
      </w:r>
      <w:r>
        <w:rPr>
          <w:i/>
          <w:iCs/>
        </w:rPr>
        <w:t xml:space="preserve">q</w:t>
      </w:r>
      <w:r>
        <w:t xml:space="preserve"> </w:t>
      </w:r>
      <w:r>
        <w:t xml:space="preserve">&gt; 0.05 for all comparisons).</w:t>
      </w:r>
      <w:r>
        <w:t xml:space="preserve"> </w:t>
      </w:r>
      <w:r>
        <w:t xml:space="preserve">Therefore, GO Slim categories were used descriptively to summarize the</w:t>
      </w:r>
      <w:r>
        <w:t xml:space="preserve"> </w:t>
      </w:r>
      <w:r>
        <w:t xml:space="preserve">functional identities of leachate-responsive genes within each</w:t>
      </w:r>
      <w:r>
        <w:t xml:space="preserve"> </w:t>
      </w:r>
      <w:r>
        <w:t xml:space="preserve">developmental expression pattern (</w:t>
      </w:r>
      <w:hyperlink w:anchor="fig-radar">
        <w:r>
          <w:rPr>
            <w:rStyle w:val="Hyperlink"/>
          </w:rPr>
          <w:t xml:space="preserve">Figure 9</w:t>
        </w:r>
      </w:hyperlink>
      <w:r>
        <w:t xml:space="preserve">).</w:t>
      </w:r>
    </w:p>
    <w:p>
      <w:pPr>
        <w:pStyle w:val="BodyText"/>
      </w:pPr>
      <w:r>
        <w:t xml:space="preserve">The 31 leachate-responsive DEGs exhibiting the cleavage (4 hpf)</w:t>
      </w:r>
      <w:r>
        <w:t xml:space="preserve"> </w:t>
      </w:r>
      <w:r>
        <w:t xml:space="preserve">expression pattern, in which transcript abundance decreased across</w:t>
      </w:r>
      <w:r>
        <w:t xml:space="preserve"> </w:t>
      </w:r>
      <w:r>
        <w:t xml:space="preserve">development (4&gt;9&gt;14 hpf), were dominated by GO Slim terms related to</w:t>
      </w:r>
      <w:r>
        <w:t xml:space="preserve"> </w:t>
      </w:r>
      <w:r>
        <w:t xml:space="preserve">early developmental regulation and nuclear organization, including</w:t>
      </w:r>
      <w:r>
        <w:t xml:space="preserve"> </w:t>
      </w:r>
      <w:r>
        <w:t xml:space="preserve">anatomical structure development, cell differentiation, meiotic nuclear</w:t>
      </w:r>
      <w:r>
        <w:t xml:space="preserve"> </w:t>
      </w:r>
      <w:r>
        <w:t xml:space="preserve">division, chromosome segregation, and chromatin organization. Additional</w:t>
      </w:r>
      <w:r>
        <w:t xml:space="preserve"> </w:t>
      </w:r>
      <w:r>
        <w:t xml:space="preserve">cleavage-associated terms included intracellular protein transport and</w:t>
      </w:r>
      <w:r>
        <w:t xml:space="preserve"> </w:t>
      </w:r>
      <w:r>
        <w:t xml:space="preserve">nervous system process. Together, these functions suggest that</w:t>
      </w:r>
      <w:r>
        <w:t xml:space="preserve"> </w:t>
      </w:r>
      <w:r>
        <w:t xml:space="preserve">leachate-responsive genes expressed most strongly during cleavage were</w:t>
      </w:r>
      <w:r>
        <w:t xml:space="preserve"> </w:t>
      </w:r>
      <w:r>
        <w:t xml:space="preserve">associated with maternally provisioned developmental programs,</w:t>
      </w:r>
      <w:r>
        <w:t xml:space="preserve"> </w:t>
      </w:r>
      <w:r>
        <w:t xml:space="preserve">chromosomal organization, and cell division fidelity during early</w:t>
      </w:r>
      <w:r>
        <w:t xml:space="preserve"> </w:t>
      </w:r>
      <w:r>
        <w:t xml:space="preserve">embryogenesis.</w:t>
      </w:r>
    </w:p>
    <w:p>
      <w:pPr>
        <w:pStyle w:val="BodyText"/>
      </w:pPr>
      <w:r>
        <w:t xml:space="preserve">In contrast, the prawnchip expression pattern, characterized by genes</w:t>
      </w:r>
      <w:r>
        <w:t xml:space="preserve"> </w:t>
      </w:r>
      <w:r>
        <w:t xml:space="preserve">peaking transiently at 9 hpf (4&lt;9&gt;14 hpf), contained fewer total</w:t>
      </w:r>
      <w:r>
        <w:t xml:space="preserve"> </w:t>
      </w:r>
      <w:r>
        <w:t xml:space="preserve">leachate-responsive DEGs (25) and was characterized by genes involved in</w:t>
      </w:r>
      <w:r>
        <w:t xml:space="preserve"> </w:t>
      </w:r>
      <w:r>
        <w:t xml:space="preserve">lipid metabolic process, signaling, and programmed cell death. These</w:t>
      </w:r>
      <w:r>
        <w:t xml:space="preserve"> </w:t>
      </w:r>
      <w:r>
        <w:t xml:space="preserve">functions suggest a transient shift toward metabolic and</w:t>
      </w:r>
      <w:r>
        <w:t xml:space="preserve"> </w:t>
      </w:r>
      <w:r>
        <w:t xml:space="preserve">stress-associated responses during the prawnchip stage.</w:t>
      </w:r>
    </w:p>
    <w:p>
      <w:pPr>
        <w:pStyle w:val="BodyText"/>
      </w:pPr>
      <w:r>
        <w:t xml:space="preserve">The early gastrula (14 hpf) expression pattern, in which transcript</w:t>
      </w:r>
      <w:r>
        <w:t xml:space="preserve"> </w:t>
      </w:r>
      <w:r>
        <w:t xml:space="preserve">abundance increased across development (4&lt;9&lt;14 hpf), contained the</w:t>
      </w:r>
      <w:r>
        <w:t xml:space="preserve"> </w:t>
      </w:r>
      <w:r>
        <w:t xml:space="preserve">largest number of leachate-responsive DEGs (72 genes). Dominant GO Slim</w:t>
      </w:r>
      <w:r>
        <w:t xml:space="preserve"> </w:t>
      </w:r>
      <w:r>
        <w:t xml:space="preserve">categories included anatomical structure development, cell</w:t>
      </w:r>
      <w:r>
        <w:t xml:space="preserve"> </w:t>
      </w:r>
      <w:r>
        <w:t xml:space="preserve">differentiation, signaling, vesicle-mediated transport, mitotic cell</w:t>
      </w:r>
      <w:r>
        <w:t xml:space="preserve"> </w:t>
      </w:r>
      <w:r>
        <w:t xml:space="preserve">cycle, cytoskeleton organization, and protein-containing complex</w:t>
      </w:r>
      <w:r>
        <w:t xml:space="preserve"> </w:t>
      </w:r>
      <w:r>
        <w:t xml:space="preserve">assembly (). These functions are consistent with increased cellular</w:t>
      </w:r>
      <w:r>
        <w:t xml:space="preserve"> </w:t>
      </w:r>
      <w:r>
        <w:t xml:space="preserve">remodeling, intracellular trafficking, and structural reorganization</w:t>
      </w:r>
      <w:r>
        <w:t xml:space="preserve"> </w:t>
      </w:r>
      <w:r>
        <w:t xml:space="preserve">during gastrulation.</w:t>
      </w:r>
    </w:p>
    <w:p>
      <w:pPr>
        <w:pStyle w:val="BodyText"/>
      </w:pPr>
      <w:r>
        <w:t xml:space="preserve">Several GO Slim categories, including anatomical structure development,</w:t>
      </w:r>
      <w:r>
        <w:t xml:space="preserve"> </w:t>
      </w:r>
      <w:r>
        <w:t xml:space="preserve">cell differentiation, DNA-templated transcription, regulation of</w:t>
      </w:r>
      <w:r>
        <w:t xml:space="preserve"> </w:t>
      </w:r>
      <w:r>
        <w:t xml:space="preserve">DNA-templated transcription, reproductive process, immune system</w:t>
      </w:r>
      <w:r>
        <w:t xml:space="preserve"> </w:t>
      </w:r>
      <w:r>
        <w:t xml:space="preserve">process, and signaling, were consistently observed across all three</w:t>
      </w:r>
      <w:r>
        <w:t xml:space="preserve"> </w:t>
      </w:r>
      <w:r>
        <w:t xml:space="preserve">developmental expression patterns, suggesting that core developmental</w:t>
      </w:r>
      <w:r>
        <w:t xml:space="preserve"> </w:t>
      </w:r>
      <w:r>
        <w:t xml:space="preserve">and regulatory processes were responsive to PVC leachate exposure</w:t>
      </w:r>
      <w:r>
        <w:t xml:space="preserve"> </w:t>
      </w:r>
      <w:r>
        <w:t xml:space="preserve">throughout embryogenesis. However, stage-specific differences in the</w:t>
      </w:r>
      <w:r>
        <w:t xml:space="preserve"> </w:t>
      </w:r>
      <w:r>
        <w:t xml:space="preserve">dominant functional categories indicate that the biological consequences</w:t>
      </w:r>
      <w:r>
        <w:t xml:space="preserve"> </w:t>
      </w:r>
      <w:r>
        <w:t xml:space="preserve">of leachate exposure varied across developmental time, with</w:t>
      </w:r>
      <w:r>
        <w:t xml:space="preserve"> </w:t>
      </w:r>
      <w:r>
        <w:t xml:space="preserve">cleavage-stage responses emphasizing chromosomal and nuclear regulation,</w:t>
      </w:r>
      <w:r>
        <w:t xml:space="preserve"> </w:t>
      </w:r>
      <w:r>
        <w:t xml:space="preserve">prawnchip responses reflecting transient metabolic and stress-associated</w:t>
      </w:r>
      <w:r>
        <w:t xml:space="preserve"> </w:t>
      </w:r>
      <w:r>
        <w:t xml:space="preserve">processes, and early gastrula responses dominated by cellular activation</w:t>
      </w:r>
      <w:r>
        <w:t xml:space="preserve"> </w:t>
      </w:r>
      <w:r>
        <w:t xml:space="preserve">and structural reorganization.</w:t>
      </w:r>
    </w:p>
    <w:tbl>
      <w:tblPr>
        <w:tblStyle w:val="Table"/>
        <w:tblW w:type="pct" w:w="5000"/>
        <w:tblLayout w:type="fixed"/>
        <w:tblLook w:firstRow="0" w:lastRow="0" w:firstColumn="0" w:lastColumn="0" w:noHBand="0" w:noVBand="0" w:val="0000"/>
      </w:tblPr>
      <w:tblGrid>
        <w:gridCol w:w="7920"/>
      </w:tblGrid>
      <w:tr>
        <w:tc>
          <w:tcPr/>
          <w:bookmarkStart w:id="76" w:name="fig-radar"/>
          <w:p>
            <w:pPr>
              <w:pStyle w:val="Compact"/>
              <w:jc w:val="center"/>
            </w:pPr>
            <w:r>
              <w:drawing>
                <wp:inline>
                  <wp:extent cx="5334000" cy="3000375"/>
                  <wp:effectExtent b="0" l="0" r="0" t="0"/>
                  <wp:docPr descr="" title="" id="74" name="Picture"/>
                  <a:graphic>
                    <a:graphicData uri="http://schemas.openxmlformats.org/drawingml/2006/picture">
                      <pic:pic>
                        <pic:nvPicPr>
                          <pic:cNvPr descr="figs/radar_fancy.png" id="75" name="Picture"/>
                          <pic:cNvPicPr>
                            <a:picLocks noChangeArrowheads="1" noChangeAspect="1"/>
                          </pic:cNvPicPr>
                        </pic:nvPicPr>
                        <pic:blipFill>
                          <a:blip r:embed="rId73"/>
                          <a:stretch>
                            <a:fillRect/>
                          </a:stretch>
                        </pic:blipFill>
                        <pic:spPr bwMode="auto">
                          <a:xfrm>
                            <a:off x="0" y="0"/>
                            <a:ext cx="5334000" cy="3000375"/>
                          </a:xfrm>
                          <a:prstGeom prst="rect">
                            <a:avLst/>
                          </a:prstGeom>
                          <a:noFill/>
                          <a:ln w="9525">
                            <a:noFill/>
                            <a:headEnd/>
                            <a:tailEnd/>
                          </a:ln>
                        </pic:spPr>
                      </pic:pic>
                    </a:graphicData>
                  </a:graphic>
                </wp:inline>
              </w:drawing>
            </w:r>
          </w:p>
          <w:p>
            <w:pPr>
              <w:jc w:val="center"/>
            </w:pPr>
            <w:pPr>
              <w:jc w:val="left"/>
              <w:spacing w:before="200"/>
              <w:pStyle w:val="ImageCaption"/>
            </w:pPr>
            <w:r>
              <w:t xml:space="preserve">Figure 9: Functional annotation of PVC leachate-responsive genes across</w:t>
            </w:r>
            <w:r>
              <w:t xml:space="preserve"> </w:t>
            </w:r>
            <w:r>
              <w:t xml:space="preserve">developmental stage-specific expression clusters. Gene counts were</w:t>
            </w:r>
            <w:r>
              <w:t xml:space="preserve"> </w:t>
            </w:r>
            <w:r>
              <w:t xml:space="preserve">grouped into GOSlim categories for genes with peak expression during a)</w:t>
            </w:r>
            <w:r>
              <w:t xml:space="preserve"> </w:t>
            </w:r>
            <w:r>
              <w:t xml:space="preserve">cleavage (31 DEGs) annotated to mitotic cell cycle, signaling,</w:t>
            </w:r>
            <w:r>
              <w:t xml:space="preserve"> </w:t>
            </w:r>
            <w:r>
              <w:t xml:space="preserve">anatomical structure development, and cell differentiation. b) prawnchip</w:t>
            </w:r>
            <w:r>
              <w:t xml:space="preserve"> </w:t>
            </w:r>
            <w:r>
              <w:t xml:space="preserve">(25 DEGs) annotated in anatomical structure development and signaling.</w:t>
            </w:r>
            <w:r>
              <w:t xml:space="preserve"> </w:t>
            </w:r>
            <w:r>
              <w:t xml:space="preserve">c) early gastrula (72 DEGs) annotated in anatomical structure</w:t>
            </w:r>
            <w:r>
              <w:t xml:space="preserve"> </w:t>
            </w:r>
            <w:r>
              <w:t xml:space="preserve">development, cell differentiation, signaling and vesicle-mediated</w:t>
            </w:r>
            <w:r>
              <w:t xml:space="preserve"> </w:t>
            </w:r>
            <w:r>
              <w:t xml:space="preserve">transport, and transcriptional</w:t>
            </w:r>
            <w:r>
              <w:t xml:space="preserve"> </w:t>
            </w:r>
            <w:r>
              <w:t xml:space="preserve">regulation.</w:t>
            </w:r>
          </w:p>
          <w:bookmarkEnd w:id="76"/>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80" w:name="fig-lolli"/>
          <w:p>
            <w:pPr>
              <w:pStyle w:val="Compact"/>
              <w:jc w:val="center"/>
            </w:pPr>
            <w:r>
              <w:drawing>
                <wp:inline>
                  <wp:extent cx="5334000" cy="3556000"/>
                  <wp:effectExtent b="0" l="0" r="0" t="0"/>
                  <wp:docPr descr="" title="" id="78" name="Picture"/>
                  <a:graphic>
                    <a:graphicData uri="http://schemas.openxmlformats.org/drawingml/2006/picture">
                      <pic:pic>
                        <pic:nvPicPr>
                          <pic:cNvPr descr="figs/lolli_counts.png" id="79" name="Picture"/>
                          <pic:cNvPicPr>
                            <a:picLocks noChangeArrowheads="1" noChangeAspect="1"/>
                          </pic:cNvPicPr>
                        </pic:nvPicPr>
                        <pic:blipFill>
                          <a:blip r:embed="rId77"/>
                          <a:stretch>
                            <a:fillRect/>
                          </a:stretch>
                        </pic:blipFill>
                        <pic:spPr bwMode="auto">
                          <a:xfrm>
                            <a:off x="0" y="0"/>
                            <a:ext cx="5334000" cy="3556000"/>
                          </a:xfrm>
                          <a:prstGeom prst="rect">
                            <a:avLst/>
                          </a:prstGeom>
                          <a:noFill/>
                          <a:ln w="9525">
                            <a:noFill/>
                            <a:headEnd/>
                            <a:tailEnd/>
                          </a:ln>
                        </pic:spPr>
                      </pic:pic>
                    </a:graphicData>
                  </a:graphic>
                </wp:inline>
              </w:drawing>
            </w:r>
          </w:p>
          <w:p>
            <w:pPr>
              <w:jc w:val="center"/>
            </w:pPr>
            <w:pPr>
              <w:jc w:val="left"/>
              <w:spacing w:before="200"/>
              <w:pStyle w:val="ImageCaption"/>
            </w:pPr>
            <w:r>
              <w:t xml:space="preserve">Figure 10: Counts of DEGs binned into GOSlim Biological Process (BP) terms and</w:t>
            </w:r>
            <w:r>
              <w:t xml:space="preserve"> </w:t>
            </w:r>
            <w:r>
              <w:t xml:space="preserve">colored by percent enrichment</w:t>
            </w:r>
          </w:p>
          <w:bookmarkEnd w:id="80"/>
        </w:tc>
      </w:tr>
    </w:tbl>
    <w:bookmarkEnd w:id="81"/>
    <w:bookmarkEnd w:id="82"/>
    <w:bookmarkStart w:id="109" w:name="h3-microbiome"/>
    <w:p>
      <w:pPr>
        <w:pStyle w:val="Heading3"/>
      </w:pPr>
      <w:r>
        <w:rPr>
          <w:i/>
          <w:iCs/>
        </w:rPr>
        <w:t xml:space="preserve">H</w:t>
      </w:r>
      <w:r>
        <w:rPr>
          <w:vertAlign w:val="subscript"/>
        </w:rPr>
        <w:t xml:space="preserve">3</w:t>
      </w:r>
      <w:r>
        <w:t xml:space="preserve">: Microbiome</w:t>
      </w:r>
    </w:p>
    <w:bookmarkStart w:id="87" w:name="alpha-diversity"/>
    <w:p>
      <w:pPr>
        <w:pStyle w:val="Heading4"/>
      </w:pPr>
      <w:r>
        <w:t xml:space="preserve">Alpha diversity</w:t>
      </w:r>
    </w:p>
    <w:p>
      <w:pPr>
        <w:pStyle w:val="FirstParagraph"/>
      </w:pPr>
      <w:r>
        <w:t xml:space="preserve">A two-way analysis of variance (ANOVA) revealed no significant effects</w:t>
      </w:r>
      <w:r>
        <w:t xml:space="preserve"> </w:t>
      </w:r>
      <w:r>
        <w:t xml:space="preserve">of PVC leachate level, developmental stage, or their interaction on</w:t>
      </w:r>
      <w:r>
        <w:t xml:space="preserve"> </w:t>
      </w:r>
      <w:r>
        <w:t xml:space="preserve">Shannon diversity. Differences in Shannon diversity among leachate</w:t>
      </w:r>
      <w:r>
        <w:t xml:space="preserve"> </w:t>
      </w:r>
      <w:r>
        <w:t xml:space="preserve">treatments were not statistically significant (</w:t>
      </w:r>
      <w:r>
        <w:rPr>
          <w:i/>
          <w:iCs/>
        </w:rPr>
        <w:t xml:space="preserve">F</w:t>
      </w:r>
      <w:r>
        <w:t xml:space="preserve">₃,₄₈ = 1.25,</w:t>
      </w:r>
      <w:r>
        <w:t xml:space="preserve"> </w:t>
      </w:r>
      <w:r>
        <w:rPr>
          <w:i/>
          <w:iCs/>
        </w:rPr>
        <w:t xml:space="preserve">p</w:t>
      </w:r>
      <w:r>
        <w:t xml:space="preserve">=</w:t>
      </w:r>
      <w:r>
        <w:t xml:space="preserve"> </w:t>
      </w:r>
      <w:r>
        <w:t xml:space="preserve">0.302), nor were differences among developmental stages (</w:t>
      </w:r>
      <w:r>
        <w:rPr>
          <w:i/>
          <w:iCs/>
        </w:rPr>
        <w:t xml:space="preserve">F</w:t>
      </w:r>
      <w:r>
        <w:t xml:space="preserve">₂,₄₈ = 1.11,</w:t>
      </w:r>
      <w:r>
        <w:t xml:space="preserve"> </w:t>
      </w:r>
      <w:r>
        <w:rPr>
          <w:i/>
          <w:iCs/>
        </w:rPr>
        <w:t xml:space="preserve">p</w:t>
      </w:r>
      <w:r>
        <w:t xml:space="preserve">= 0.339). Similarly, the leachate × stage interaction was not</w:t>
      </w:r>
      <w:r>
        <w:t xml:space="preserve"> </w:t>
      </w:r>
      <w:r>
        <w:t xml:space="preserve">significant (</w:t>
      </w:r>
      <w:r>
        <w:rPr>
          <w:i/>
          <w:iCs/>
        </w:rPr>
        <w:t xml:space="preserve">F</w:t>
      </w:r>
      <w:r>
        <w:t xml:space="preserve">₆,₄₈ = 0.33,</w:t>
      </w:r>
      <w:r>
        <w:t xml:space="preserve"> </w:t>
      </w:r>
      <w:r>
        <w:rPr>
          <w:i/>
          <w:iCs/>
        </w:rPr>
        <w:t xml:space="preserve">p</w:t>
      </w:r>
      <w:r>
        <w:t xml:space="preserve">= 0.919), indicating that leachate did</w:t>
      </w:r>
      <w:r>
        <w:t xml:space="preserve"> </w:t>
      </w:r>
      <w:r>
        <w:t xml:space="preserve">not affect microbial alpha diversity across stages. A two-way ANOVA</w:t>
      </w:r>
      <w:r>
        <w:t xml:space="preserve"> </w:t>
      </w:r>
      <w:r>
        <w:t xml:space="preserve">revealed a significant effect of developmental stage on Faith’s</w:t>
      </w:r>
      <w:r>
        <w:t xml:space="preserve"> </w:t>
      </w:r>
      <w:r>
        <w:t xml:space="preserve">phylogenetic diversity, with post hoc Tukey HSD tests showing reduced</w:t>
      </w:r>
      <w:r>
        <w:t xml:space="preserve"> </w:t>
      </w:r>
      <w:r>
        <w:t xml:space="preserve">phylogenetic diversity at 14 hpf compared to 4 hpf (</w:t>
      </w:r>
      <w:r>
        <w:rPr>
          <w:i/>
          <w:iCs/>
        </w:rPr>
        <w:t xml:space="preserve">p</w:t>
      </w:r>
      <w:r>
        <w:rPr>
          <w:i/>
          <w:iCs/>
          <w:vertAlign w:val="subscript"/>
        </w:rPr>
        <w:t xml:space="preserve">adj</w:t>
      </w:r>
      <w:r>
        <w:t xml:space="preserve"> </w:t>
      </w:r>
      <w:r>
        <w:t xml:space="preserve">= 0.04).</w:t>
      </w:r>
    </w:p>
    <w:tbl>
      <w:tblPr>
        <w:tblStyle w:val="Table"/>
        <w:tblW w:type="pct" w:w="5000"/>
        <w:tblLayout w:type="fixed"/>
        <w:tblLook w:firstRow="0" w:lastRow="0" w:firstColumn="0" w:lastColumn="0" w:noHBand="0" w:noVBand="0" w:val="0000"/>
      </w:tblPr>
      <w:tblGrid>
        <w:gridCol w:w="7920"/>
      </w:tblGrid>
      <w:tr>
        <w:tc>
          <w:tcPr/>
          <w:bookmarkStart w:id="86" w:name="fig-alpha"/>
          <w:p>
            <w:pPr>
              <w:pStyle w:val="Compact"/>
              <w:jc w:val="center"/>
            </w:pPr>
            <w:r>
              <w:drawing>
                <wp:inline>
                  <wp:extent cx="5334000" cy="3200400"/>
                  <wp:effectExtent b="0" l="0" r="0" t="0"/>
                  <wp:docPr descr="" title="" id="84" name="Picture"/>
                  <a:graphic>
                    <a:graphicData uri="http://schemas.openxmlformats.org/drawingml/2006/picture">
                      <pic:pic>
                        <pic:nvPicPr>
                          <pic:cNvPr descr="figs/alpha_shannon_faith.png" id="85" name="Picture"/>
                          <pic:cNvPicPr>
                            <a:picLocks noChangeArrowheads="1" noChangeAspect="1"/>
                          </pic:cNvPicPr>
                        </pic:nvPicPr>
                        <pic:blipFill>
                          <a:blip r:embed="rId83"/>
                          <a:stretch>
                            <a:fillRect/>
                          </a:stretch>
                        </pic:blipFill>
                        <pic:spPr bwMode="auto">
                          <a:xfrm>
                            <a:off x="0" y="0"/>
                            <a:ext cx="5334000" cy="3200400"/>
                          </a:xfrm>
                          <a:prstGeom prst="rect">
                            <a:avLst/>
                          </a:prstGeom>
                          <a:noFill/>
                          <a:ln w="9525">
                            <a:noFill/>
                            <a:headEnd/>
                            <a:tailEnd/>
                          </a:ln>
                        </pic:spPr>
                      </pic:pic>
                    </a:graphicData>
                  </a:graphic>
                </wp:inline>
              </w:drawing>
            </w:r>
          </w:p>
          <w:p>
            <w:pPr>
              <w:jc w:val="center"/>
            </w:pPr>
            <w:pPr>
              <w:jc w:val="left"/>
              <w:spacing w:before="200"/>
              <w:pStyle w:val="ImageCaption"/>
            </w:pPr>
            <w:r>
              <w:t xml:space="preserve">Figure 11: Alpha diversity metrics across PVC leachate treatments and</w:t>
            </w:r>
            <w:r>
              <w:t xml:space="preserve"> </w:t>
            </w:r>
            <w:r>
              <w:t xml:space="preserve">developmental stages in coral embryo-associated microbial communities.</w:t>
            </w:r>
            <w:r>
              <w:t xml:space="preserve"> </w:t>
            </w:r>
            <w:r>
              <w:t xml:space="preserve">Shannon diversity (top row) and Faith’s phylogenetic diversity (bottom</w:t>
            </w:r>
            <w:r>
              <w:t xml:space="preserve"> </w:t>
            </w:r>
            <w:r>
              <w:t xml:space="preserve">row) are shown across the interaction between PVC leachate treatment and</w:t>
            </w:r>
            <w:r>
              <w:t xml:space="preserve"> </w:t>
            </w:r>
            <w:r>
              <w:t xml:space="preserve">developmental stage (left panels), PVC leachate treatment (center</w:t>
            </w:r>
            <w:r>
              <w:t xml:space="preserve"> </w:t>
            </w:r>
            <w:r>
              <w:t xml:space="preserve">panels), and stage-specific distributions (right panels). Violin plots</w:t>
            </w:r>
            <w:r>
              <w:t xml:space="preserve"> </w:t>
            </w:r>
            <w:r>
              <w:t xml:space="preserve">represent the distribution of samples within each group, with embedded</w:t>
            </w:r>
            <w:r>
              <w:t xml:space="preserve"> </w:t>
            </w:r>
            <w:r>
              <w:t xml:space="preserve">boxplots indicating medians and interquartile ranges. Developmental</w:t>
            </w:r>
            <w:r>
              <w:t xml:space="preserve"> </w:t>
            </w:r>
            <w:r>
              <w:t xml:space="preserve">stage had a stronger influence on alpha diversity patterns than PVC</w:t>
            </w:r>
            <w:r>
              <w:t xml:space="preserve"> </w:t>
            </w:r>
            <w:r>
              <w:t xml:space="preserve">leachate treatment. Shannon diversity remained relatively stable across</w:t>
            </w:r>
            <w:r>
              <w:t xml:space="preserve"> </w:t>
            </w:r>
            <w:r>
              <w:t xml:space="preserve">stages and treatments, whereas Faith’s phylogenetic diversity differed</w:t>
            </w:r>
            <w:r>
              <w:t xml:space="preserve"> </w:t>
            </w:r>
            <w:r>
              <w:t xml:space="preserve">significantly among developmental stages, with reduced phylogenetic</w:t>
            </w:r>
            <w:r>
              <w:t xml:space="preserve"> </w:t>
            </w:r>
            <w:r>
              <w:t xml:space="preserve">diversity observed at 14 hpf relative to 4 hpf (</w:t>
            </w:r>
            <w:r>
              <w:rPr>
                <w:i/>
                <w:iCs/>
              </w:rPr>
              <w:t xml:space="preserve">padj</w:t>
            </w:r>
            <w:r>
              <w:t xml:space="preserve"> </w:t>
            </w:r>
            <w:r>
              <w:t xml:space="preserve">= 0.04). No</w:t>
            </w:r>
            <w:r>
              <w:t xml:space="preserve"> </w:t>
            </w:r>
            <w:r>
              <w:t xml:space="preserve">strong treatment-associated shifts in alpha diversity were observed</w:t>
            </w:r>
            <w:r>
              <w:t xml:space="preserve"> </w:t>
            </w:r>
            <w:r>
              <w:t xml:space="preserve">across PVC leachate levels.</w:t>
            </w:r>
          </w:p>
          <w:bookmarkEnd w:id="86"/>
        </w:tc>
      </w:tr>
    </w:tbl>
    <w:p>
      <w:pPr>
        <w:pStyle w:val="BodyText"/>
      </w:pPr>
      <w:r>
        <w:t xml:space="preserve">Alpha diversity remained stable across treatments, indicating limited</w:t>
      </w:r>
      <w:r>
        <w:t xml:space="preserve"> </w:t>
      </w:r>
      <w:r>
        <w:t xml:space="preserve">sensitivity of within- sample microbial diversity to leachate exposure</w:t>
      </w:r>
      <w:r>
        <w:t xml:space="preserve"> </w:t>
      </w:r>
      <w:r>
        <w:t xml:space="preserve">or developmental progression.</w:t>
      </w:r>
    </w:p>
    <w:p>
      <w:pPr>
        <w:pStyle w:val="BodyText"/>
      </w:pPr>
      <w:r>
        <w:t xml:space="preserve">Following recommendations from</w:t>
      </w:r>
      <w:r>
        <w:t xml:space="preserve"> </w:t>
      </w:r>
      <w:r>
        <w:t xml:space="preserve">Gloor et al. (2017)</w:t>
      </w:r>
      <w:r>
        <w:t xml:space="preserve">, we used the centered</w:t>
      </w:r>
      <w:r>
        <w:t xml:space="preserve"> </w:t>
      </w:r>
      <w:r>
        <w:t xml:space="preserve">log-ratio (CLR) transformation to convert our data to Euclidean space to</w:t>
      </w:r>
      <w:r>
        <w:t xml:space="preserve"> </w:t>
      </w:r>
      <w:r>
        <w:t xml:space="preserve">an Aitchison distance (Euclidean distance on CLR-transformed data)</w:t>
      </w:r>
      <w:r>
        <w:t xml:space="preserve"> </w:t>
      </w:r>
      <w:r>
        <w:t xml:space="preserve">matrix. We then performed a PCA on the Aitchison distance matrix to</w:t>
      </w:r>
      <w:r>
        <w:t xml:space="preserve"> </w:t>
      </w:r>
      <w:r>
        <w:t xml:space="preserve">visually assess multivariate differences between samples (</w:t>
      </w:r>
      <w:r>
        <w:t xml:space="preserve"> </w:t>
      </w:r>
      <w:hyperlink w:anchor="fig-pcoa-combined">
        <w:r>
          <w:rPr>
            <w:rStyle w:val="Hyperlink"/>
          </w:rPr>
          <w:t xml:space="preserve">Figure 13</w:t>
        </w:r>
      </w:hyperlink>
      <w:r>
        <w:t xml:space="preserve"> </w:t>
      </w:r>
      <w:r>
        <w:t xml:space="preserve">A-C).</w:t>
      </w:r>
    </w:p>
    <w:bookmarkEnd w:id="87"/>
    <w:bookmarkStart w:id="96" w:name="betadispersion-permanova-beta-diversity"/>
    <w:p>
      <w:pPr>
        <w:pStyle w:val="Heading4"/>
      </w:pPr>
      <w:r>
        <w:t xml:space="preserve">Betadispersion, PERMANOVA &amp; Beta Diversity</w:t>
      </w:r>
    </w:p>
    <w:p>
      <w:pPr>
        <w:pStyle w:val="FirstParagraph"/>
      </w:pPr>
      <w:r>
        <w:t xml:space="preserve">Homogeneity of multivariate dispersion was assessed using the Aitchison</w:t>
      </w:r>
      <w:r>
        <w:t xml:space="preserve"> </w:t>
      </w:r>
      <w:r>
        <w:t xml:space="preserve">distance matrix with the betadisper() function from the vegan package</w:t>
      </w:r>
      <w:r>
        <w:t xml:space="preserve"> </w:t>
      </w:r>
      <w:r>
        <w:t xml:space="preserve">prior to conducting a PERMANOVA to determine if microbiome sample ASV</w:t>
      </w:r>
      <w:r>
        <w:t xml:space="preserve"> </w:t>
      </w:r>
      <w:r>
        <w:t xml:space="preserve">composition differed significantly across developmental stage and</w:t>
      </w:r>
      <w:r>
        <w:t xml:space="preserve"> </w:t>
      </w:r>
      <w:r>
        <w:t xml:space="preserve">leachate level.</w:t>
      </w:r>
    </w:p>
    <w:p>
      <w:pPr>
        <w:pStyle w:val="BodyText"/>
      </w:pPr>
      <w:r>
        <w:t xml:space="preserve">PERMANOVA tests for differences in group centroids in multivariate space</w:t>
      </w:r>
      <w:r>
        <w:t xml:space="preserve"> </w:t>
      </w:r>
      <w:r>
        <w:t xml:space="preserve">but assumes that within-group dispersion is comparable across groups. If</w:t>
      </w:r>
      <w:r>
        <w:t xml:space="preserve"> </w:t>
      </w:r>
      <w:r>
        <w:t xml:space="preserve">dispersions differ significantly, PERMANOVA may detect differences</w:t>
      </w:r>
      <w:r>
        <w:t xml:space="preserve"> </w:t>
      </w:r>
      <w:r>
        <w:t xml:space="preserve">driven by unequal variability rather than true shifts in community</w:t>
      </w:r>
      <w:r>
        <w:t xml:space="preserve"> </w:t>
      </w:r>
      <w:r>
        <w:t xml:space="preserve">composition. By first evaluating whether average distances to group</w:t>
      </w:r>
      <w:r>
        <w:t xml:space="preserve"> </w:t>
      </w:r>
      <w:r>
        <w:t xml:space="preserve">centroids differed across groups, we determined whether the assumption</w:t>
      </w:r>
      <w:r>
        <w:t xml:space="preserve"> </w:t>
      </w:r>
      <w:r>
        <w:t xml:space="preserve">of homogeneous dispersion was met.</w:t>
      </w:r>
    </w:p>
    <w:p>
      <w:pPr>
        <w:pStyle w:val="BodyText"/>
      </w:pPr>
      <w:r>
        <w:t xml:space="preserve">The permutation test for homogeneity of multivariate dispersions</w:t>
      </w:r>
      <w:r>
        <w:t xml:space="preserve"> </w:t>
      </w:r>
      <w:r>
        <w:t xml:space="preserve">revealed no significant difference in dispersion across leachate</w:t>
      </w:r>
      <w:r>
        <w:t xml:space="preserve"> </w:t>
      </w:r>
      <w:r>
        <w:t xml:space="preserve">(</w:t>
      </w:r>
      <w:r>
        <w:rPr>
          <w:i/>
          <w:iCs/>
        </w:rPr>
        <w:t xml:space="preserve">F</w:t>
      </w:r>
      <w:r>
        <w:rPr>
          <w:vertAlign w:val="subscript"/>
        </w:rPr>
        <w:t xml:space="preserve">3,59</w:t>
      </w:r>
      <w:r>
        <w:t xml:space="preserve"> </w:t>
      </w:r>
      <w:r>
        <w:t xml:space="preserve">= 0.14,</w:t>
      </w:r>
      <w:r>
        <w:t xml:space="preserve"> </w:t>
      </w:r>
      <w:r>
        <w:rPr>
          <w:i/>
          <w:iCs/>
        </w:rPr>
        <w:t xml:space="preserve">p</w:t>
      </w:r>
      <w:r>
        <w:t xml:space="preserve"> </w:t>
      </w:r>
      <w:r>
        <w:t xml:space="preserve">= 0.939, 999 permutations), stage (</w:t>
      </w:r>
      <w:r>
        <w:rPr>
          <w:i/>
          <w:iCs/>
        </w:rPr>
        <w:t xml:space="preserve">F</w:t>
      </w:r>
      <w:r>
        <w:rPr>
          <w:vertAlign w:val="subscript"/>
        </w:rPr>
        <w:t xml:space="preserve">2,60</w:t>
      </w:r>
      <w:r>
        <w:t xml:space="preserve"> </w:t>
      </w:r>
      <w:r>
        <w:t xml:space="preserve">=</w:t>
      </w:r>
      <w:r>
        <w:t xml:space="preserve"> </w:t>
      </w:r>
      <w:r>
        <w:t xml:space="preserve">1.0498,</w:t>
      </w:r>
      <w:r>
        <w:t xml:space="preserve"> </w:t>
      </w:r>
      <w:r>
        <w:rPr>
          <w:i/>
          <w:iCs/>
        </w:rPr>
        <w:t xml:space="preserve">p</w:t>
      </w:r>
      <w:r>
        <w:t xml:space="preserve"> </w:t>
      </w:r>
      <w:r>
        <w:t xml:space="preserve">= 0.36, 999 permutations), or the interaction between</w:t>
      </w:r>
      <w:r>
        <w:t xml:space="preserve"> </w:t>
      </w:r>
      <w:r>
        <w:t xml:space="preserve">leachate and stage (</w:t>
      </w:r>
      <w:r>
        <w:rPr>
          <w:i/>
          <w:iCs/>
        </w:rPr>
        <w:t xml:space="preserve">F</w:t>
      </w:r>
      <w:r>
        <w:rPr>
          <w:vertAlign w:val="subscript"/>
        </w:rPr>
        <w:t xml:space="preserve">11,51</w:t>
      </w:r>
      <w:r>
        <w:t xml:space="preserve"> </w:t>
      </w:r>
      <w:r>
        <w:t xml:space="preserve">= 0.35,</w:t>
      </w:r>
      <w:r>
        <w:t xml:space="preserve"> </w:t>
      </w:r>
      <w:r>
        <w:rPr>
          <w:i/>
          <w:iCs/>
        </w:rPr>
        <w:t xml:space="preserve">p</w:t>
      </w:r>
      <w:r>
        <w:t xml:space="preserve"> </w:t>
      </w:r>
      <w:r>
        <w:t xml:space="preserve">= 0.971, 999 permutations),</w:t>
      </w:r>
      <w:r>
        <w:t xml:space="preserve"> </w:t>
      </w:r>
      <w:r>
        <w:t xml:space="preserve">indicating groups have equal variance and meet the assumptions of</w:t>
      </w:r>
      <w:r>
        <w:t xml:space="preserve"> </w:t>
      </w:r>
      <w:r>
        <w:t xml:space="preserve">PERMANOVA. However, we found that multivariate dispersion differed</w:t>
      </w:r>
      <w:r>
        <w:t xml:space="preserve"> </w:t>
      </w:r>
      <w:r>
        <w:t xml:space="preserve">significantly across spawn nights (</w:t>
      </w:r>
      <w:r>
        <w:rPr>
          <w:i/>
          <w:iCs/>
        </w:rPr>
        <w:t xml:space="preserve">F</w:t>
      </w:r>
      <w:r>
        <w:rPr>
          <w:vertAlign w:val="subscript"/>
        </w:rPr>
        <w:t xml:space="preserve">2,60</w:t>
      </w:r>
      <w:r>
        <w:t xml:space="preserve"> </w:t>
      </w:r>
      <w:r>
        <w:t xml:space="preserve">= 6.29,</w:t>
      </w:r>
      <w:r>
        <w:t xml:space="preserve"> </w:t>
      </w:r>
      <w:r>
        <w:rPr>
          <w:i/>
          <w:iCs/>
        </w:rPr>
        <w:t xml:space="preserve">p</w:t>
      </w:r>
      <w:r>
        <w:t xml:space="preserve"> </w:t>
      </w:r>
      <w:r>
        <w:t xml:space="preserve">= 0.003, 999</w:t>
      </w:r>
      <w:r>
        <w:t xml:space="preserve"> </w:t>
      </w:r>
      <w:r>
        <w:t xml:space="preserve">permutations). Microbiome composition was clearly more varied on July</w:t>
      </w:r>
      <w:r>
        <w:t xml:space="preserve"> </w:t>
      </w:r>
      <w:r>
        <w:t xml:space="preserve">7th compared to July 6th and 8th, evident by the larger spread around</w:t>
      </w:r>
      <w:r>
        <w:t xml:space="preserve"> </w:t>
      </w:r>
      <w:r>
        <w:t xml:space="preserve">the group centroid (</w:t>
      </w:r>
      <w:hyperlink w:anchor="fig-betadisper-plots">
        <w:r>
          <w:rPr>
            <w:rStyle w:val="Hyperlink"/>
          </w:rPr>
          <w:t xml:space="preserve">Figure 12</w:t>
        </w:r>
      </w:hyperlink>
      <w:r>
        <w:t xml:space="preserve"> </w:t>
      </w:r>
      <w:r>
        <w:t xml:space="preserve">A).</w:t>
      </w:r>
    </w:p>
    <w:tbl>
      <w:tblPr>
        <w:tblStyle w:val="Table"/>
        <w:tblW w:type="pct" w:w="5000"/>
        <w:tblLayout w:type="fixed"/>
        <w:tblLook w:firstRow="0" w:lastRow="0" w:firstColumn="0" w:lastColumn="0" w:noHBand="0" w:noVBand="0" w:val="0000"/>
      </w:tblPr>
      <w:tblGrid>
        <w:gridCol w:w="7920"/>
      </w:tblGrid>
      <w:tr>
        <w:tc>
          <w:tcPr/>
          <w:bookmarkStart w:id="91" w:name="fig-betadisper-plots"/>
          <w:p>
            <w:pPr>
              <w:pStyle w:val="Compact"/>
              <w:jc w:val="center"/>
            </w:pPr>
            <w:r>
              <w:drawing>
                <wp:inline>
                  <wp:extent cx="5334000" cy="9143999"/>
                  <wp:effectExtent b="0" l="0" r="0" t="0"/>
                  <wp:docPr descr="" title="" id="89" name="Picture"/>
                  <a:graphic>
                    <a:graphicData uri="http://schemas.openxmlformats.org/drawingml/2006/picture">
                      <pic:pic>
                        <pic:nvPicPr>
                          <pic:cNvPr descr="figs/betadisper_plots.png" id="90" name="Picture"/>
                          <pic:cNvPicPr>
                            <a:picLocks noChangeArrowheads="1" noChangeAspect="1"/>
                          </pic:cNvPicPr>
                        </pic:nvPicPr>
                        <pic:blipFill>
                          <a:blip r:embed="rId88"/>
                          <a:stretch>
                            <a:fillRect/>
                          </a:stretch>
                        </pic:blipFill>
                        <pic:spPr bwMode="auto">
                          <a:xfrm>
                            <a:off x="0" y="0"/>
                            <a:ext cx="5334000" cy="9143999"/>
                          </a:xfrm>
                          <a:prstGeom prst="rect">
                            <a:avLst/>
                          </a:prstGeom>
                          <a:noFill/>
                          <a:ln w="9525">
                            <a:noFill/>
                            <a:headEnd/>
                            <a:tailEnd/>
                          </a:ln>
                        </pic:spPr>
                      </pic:pic>
                    </a:graphicData>
                  </a:graphic>
                </wp:inline>
              </w:drawing>
            </w:r>
          </w:p>
          <w:p>
            <w:pPr>
              <w:jc w:val="center"/>
            </w:pPr>
            <w:pPr>
              <w:jc w:val="left"/>
              <w:spacing w:before="200"/>
              <w:pStyle w:val="ImageCaption"/>
            </w:pPr>
            <w:r>
              <w:t xml:space="preserve">Figure 12: A. betadispersion at spawn night B. betadispersion by leachate C.</w:t>
            </w:r>
            <w:r>
              <w:t xml:space="preserve"> </w:t>
            </w:r>
            <w:r>
              <w:t xml:space="preserve">betadispersion by</w:t>
            </w:r>
            <w:r>
              <w:t xml:space="preserve"> </w:t>
            </w:r>
            <w:r>
              <w:t xml:space="preserve">stage</w:t>
            </w:r>
          </w:p>
          <w:bookmarkEnd w:id="91"/>
        </w:tc>
      </w:tr>
    </w:tbl>
    <w:p>
      <w:pPr>
        <w:pStyle w:val="BodyText"/>
      </w:pPr>
      <w:r>
        <w:t xml:space="preserve">This finding prompted us to control for spawn night as a nuisance factor</w:t>
      </w:r>
      <w:r>
        <w:t xml:space="preserve"> </w:t>
      </w:r>
      <w:r>
        <w:t xml:space="preserve">in our experiment by restricting permutations of samples among others</w:t>
      </w:r>
      <w:r>
        <w:t xml:space="preserve"> </w:t>
      </w:r>
      <w:r>
        <w:t xml:space="preserve">within the same spawn night via strata, which accounts for the</w:t>
      </w:r>
      <w:r>
        <w:t xml:space="preserve"> </w:t>
      </w:r>
      <w:r>
        <w:t xml:space="preserve">non-independence of samples collected on the same night when calculating</w:t>
      </w:r>
      <w:r>
        <w:t xml:space="preserve"> </w:t>
      </w:r>
      <w:r>
        <w:t xml:space="preserve">the significance of our factors of interest (developmental stage and</w:t>
      </w:r>
      <w:r>
        <w:t xml:space="preserve"> </w:t>
      </w:r>
      <w:r>
        <w:t xml:space="preserve">leachate level).</w:t>
      </w:r>
    </w:p>
    <w:p>
      <w:pPr>
        <w:pStyle w:val="BodyText"/>
      </w:pPr>
      <w:r>
        <w:t xml:space="preserve">We conducted a community composition analysis using a PERMANOVA</w:t>
      </w:r>
      <w:r>
        <w:t xml:space="preserve"> </w:t>
      </w:r>
      <w:r>
        <w:t xml:space="preserve">conducted on Aitchison distances with 999 permutations, stratified by</w:t>
      </w:r>
      <w:r>
        <w:t xml:space="preserve"> </w:t>
      </w:r>
      <w:r>
        <w:t xml:space="preserve">spawn night (</w:t>
      </w:r>
      <w:r>
        <w:t xml:space="preserve"> </w:t>
      </w:r>
      <w:hyperlink w:anchor="fig-pcoa-combined">
        <w:r>
          <w:rPr>
            <w:rStyle w:val="Hyperlink"/>
          </w:rPr>
          <w:t xml:space="preserve">Figure 13</w:t>
        </w:r>
      </w:hyperlink>
      <w:r>
        <w:t xml:space="preserve"> </w:t>
      </w:r>
      <w:r>
        <w:t xml:space="preserve">A). It revealed a significant effect of</w:t>
      </w:r>
      <w:r>
        <w:t xml:space="preserve"> </w:t>
      </w:r>
      <w:r>
        <w:t xml:space="preserve">developmental stage on community composition (</w:t>
      </w:r>
      <w:r>
        <w:t xml:space="preserve"> </w:t>
      </w:r>
      <w:r>
        <w:rPr>
          <w:i/>
          <w:iCs/>
        </w:rPr>
        <w:t xml:space="preserve">F</w:t>
      </w:r>
      <w:r>
        <w:rPr>
          <w:vertAlign w:val="subscript"/>
        </w:rPr>
        <w:t xml:space="preserve">2,51</w:t>
      </w:r>
      <w:r>
        <w:t xml:space="preserve"> </w:t>
      </w:r>
      <w:r>
        <w:t xml:space="preserve">= 3.84, R</w:t>
      </w:r>
      <w:r>
        <w:rPr>
          <w:vertAlign w:val="superscript"/>
        </w:rPr>
        <w:t xml:space="preserve">2</w:t>
      </w:r>
      <w:r>
        <w:t xml:space="preserve"> </w:t>
      </w:r>
      <w:r>
        <w:t xml:space="preserve">=</w:t>
      </w:r>
      <w:r>
        <w:t xml:space="preserve"> </w:t>
      </w:r>
      <w:r>
        <w:t xml:space="preserve">0.119,</w:t>
      </w:r>
      <w:r>
        <w:t xml:space="preserve"> </w:t>
      </w:r>
      <w:r>
        <w:rPr>
          <w:i/>
          <w:iCs/>
        </w:rPr>
        <w:t xml:space="preserve">p</w:t>
      </w:r>
      <w:r>
        <w:t xml:space="preserve"> </w:t>
      </w:r>
      <w:r>
        <w:t xml:space="preserve">= 0.001, 999 permutations), indicating that stage explained</w:t>
      </w:r>
      <w:r>
        <w:t xml:space="preserve"> </w:t>
      </w:r>
      <w:r>
        <w:t xml:space="preserve">approximately 11.9% of the variation in multivariate structure</w:t>
      </w:r>
      <w:r>
        <w:t xml:space="preserve"> </w:t>
      </w:r>
      <w:r>
        <w:t xml:space="preserve">(</w:t>
      </w:r>
      <w:hyperlink w:anchor="fig-pcoa-combined">
        <w:r>
          <w:rPr>
            <w:rStyle w:val="Hyperlink"/>
          </w:rPr>
          <w:t xml:space="preserve">Figure 13</w:t>
        </w:r>
      </w:hyperlink>
      <w:r>
        <w:t xml:space="preserve"> </w:t>
      </w:r>
      <w:r>
        <w:t xml:space="preserve">C). In contrast, leachate treatment had no</w:t>
      </w:r>
      <w:r>
        <w:t xml:space="preserve"> </w:t>
      </w:r>
      <w:r>
        <w:t xml:space="preserve">significant effect (</w:t>
      </w:r>
      <w:r>
        <w:t xml:space="preserve"> </w:t>
      </w:r>
      <w:r>
        <w:rPr>
          <w:i/>
          <w:iCs/>
        </w:rPr>
        <w:t xml:space="preserve">F</w:t>
      </w:r>
      <w:r>
        <w:rPr>
          <w:vertAlign w:val="subscript"/>
        </w:rPr>
        <w:t xml:space="preserve">3,51</w:t>
      </w:r>
      <w:r>
        <w:t xml:space="preserve"> </w:t>
      </w:r>
      <w:r>
        <w:t xml:space="preserve">= 0.84, R</w:t>
      </w:r>
      <w:r>
        <w:rPr>
          <w:vertAlign w:val="superscript"/>
        </w:rPr>
        <w:t xml:space="preserve">2</w:t>
      </w:r>
      <w:r>
        <w:t xml:space="preserve"> </w:t>
      </w:r>
      <w:r>
        <w:t xml:space="preserve">= 0.039,</w:t>
      </w:r>
      <w:r>
        <w:t xml:space="preserve"> </w:t>
      </w:r>
      <w:r>
        <w:rPr>
          <w:i/>
          <w:iCs/>
        </w:rPr>
        <w:t xml:space="preserve">p</w:t>
      </w:r>
      <w:r>
        <w:t xml:space="preserve"> </w:t>
      </w:r>
      <w:r>
        <w:t xml:space="preserve">= 0.297,</w:t>
      </w:r>
      <w:r>
        <w:t xml:space="preserve"> </w:t>
      </w:r>
      <w:hyperlink w:anchor="fig-pcoa-combined">
        <w:r>
          <w:rPr>
            <w:rStyle w:val="Hyperlink"/>
          </w:rPr>
          <w:t xml:space="preserve">Figure 13</w:t>
        </w:r>
      </w:hyperlink>
      <w:r>
        <w:t xml:space="preserve"> </w:t>
      </w:r>
      <w:r>
        <w:t xml:space="preserve">B), and there was no significant leachate × stage</w:t>
      </w:r>
      <w:r>
        <w:t xml:space="preserve"> </w:t>
      </w:r>
      <w:r>
        <w:t xml:space="preserve">interaction (</w:t>
      </w:r>
      <w:r>
        <w:t xml:space="preserve"> </w:t>
      </w:r>
      <w:r>
        <w:rPr>
          <w:i/>
          <w:iCs/>
        </w:rPr>
        <w:t xml:space="preserve">F</w:t>
      </w:r>
      <w:r>
        <w:rPr>
          <w:vertAlign w:val="subscript"/>
        </w:rPr>
        <w:t xml:space="preserve">6,51</w:t>
      </w:r>
      <w:r>
        <w:t xml:space="preserve"> </w:t>
      </w:r>
      <w:r>
        <w:t xml:space="preserve">= 0.51, R</w:t>
      </w:r>
      <w:r>
        <w:rPr>
          <w:vertAlign w:val="superscript"/>
        </w:rPr>
        <w:t xml:space="preserve">2</w:t>
      </w:r>
      <w:r>
        <w:t xml:space="preserve">=0.048,</w:t>
      </w:r>
      <w:r>
        <w:t xml:space="preserve"> </w:t>
      </w:r>
      <w:r>
        <w:rPr>
          <w:i/>
          <w:iCs/>
        </w:rPr>
        <w:t xml:space="preserve">p</w:t>
      </w:r>
      <w:r>
        <w:t xml:space="preserve">=1.000) .</w:t>
      </w:r>
    </w:p>
    <w:tbl>
      <w:tblPr>
        <w:tblStyle w:val="Table"/>
        <w:tblW w:type="pct" w:w="5000"/>
        <w:tblLayout w:type="fixed"/>
        <w:tblLook w:firstRow="0" w:lastRow="0" w:firstColumn="0" w:lastColumn="0" w:noHBand="0" w:noVBand="0" w:val="0000"/>
      </w:tblPr>
      <w:tblGrid>
        <w:gridCol w:w="7920"/>
      </w:tblGrid>
      <w:tr>
        <w:tc>
          <w:tcPr/>
          <w:bookmarkStart w:id="95" w:name="fig-pcoa-combined"/>
          <w:p>
            <w:pPr>
              <w:pStyle w:val="Compact"/>
              <w:jc w:val="center"/>
            </w:pPr>
            <w:r>
              <w:drawing>
                <wp:inline>
                  <wp:extent cx="4577085" cy="8238754"/>
                  <wp:effectExtent b="0" l="0" r="0" t="0"/>
                  <wp:docPr descr="" title="" id="93" name="Picture"/>
                  <a:graphic>
                    <a:graphicData uri="http://schemas.openxmlformats.org/drawingml/2006/picture">
                      <pic:pic>
                        <pic:nvPicPr>
                          <pic:cNvPr descr="figs/pcoa_combined.png" id="94" name="Picture"/>
                          <pic:cNvPicPr>
                            <a:picLocks noChangeArrowheads="1" noChangeAspect="1"/>
                          </pic:cNvPicPr>
                        </pic:nvPicPr>
                        <pic:blipFill>
                          <a:blip r:embed="rId92"/>
                          <a:stretch>
                            <a:fillRect/>
                          </a:stretch>
                        </pic:blipFill>
                        <pic:spPr bwMode="auto">
                          <a:xfrm>
                            <a:off x="0" y="0"/>
                            <a:ext cx="4577085" cy="8238754"/>
                          </a:xfrm>
                          <a:prstGeom prst="rect">
                            <a:avLst/>
                          </a:prstGeom>
                          <a:noFill/>
                          <a:ln w="9525">
                            <a:noFill/>
                            <a:headEnd/>
                            <a:tailEnd/>
                          </a:ln>
                        </pic:spPr>
                      </pic:pic>
                    </a:graphicData>
                  </a:graphic>
                </wp:inline>
              </w:drawing>
            </w:r>
          </w:p>
          <w:p>
            <w:pPr>
              <w:jc w:val="center"/>
            </w:pPr>
            <w:pPr>
              <w:jc w:val="left"/>
              <w:spacing w:before="200"/>
              <w:pStyle w:val="ImageCaption"/>
            </w:pPr>
            <w:r>
              <w:t xml:space="preserve">Figure 13: A. B. C.</w:t>
            </w:r>
          </w:p>
          <w:bookmarkEnd w:id="95"/>
        </w:tc>
      </w:tr>
    </w:tbl>
    <w:bookmarkEnd w:id="96"/>
    <w:bookmarkStart w:id="107" w:name="Xf2b74c956d44c9d02b1cf447502f836676ffa9c"/>
    <w:p>
      <w:pPr>
        <w:pStyle w:val="Heading4"/>
      </w:pPr>
      <w:r>
        <w:t xml:space="preserve">Differentially abundant and prevalent bacterial taxa</w:t>
      </w:r>
    </w:p>
    <w:p>
      <w:pPr>
        <w:pStyle w:val="FirstParagraph"/>
      </w:pPr>
      <w:r>
        <w:t xml:space="preserve">To identify individual taxa associated with leachate exposure over</w:t>
      </w:r>
      <w:r>
        <w:t xml:space="preserve"> </w:t>
      </w:r>
      <w:r>
        <w:t xml:space="preserve">developmental time, MaAsLin3 generalized linear mixed models were</w:t>
      </w:r>
      <w:r>
        <w:t xml:space="preserve"> </w:t>
      </w:r>
      <w:r>
        <w:t xml:space="preserve">applied at the genus (L6) taxonomic level using the model formula</w:t>
      </w:r>
      <w:r>
        <w:t xml:space="preserve"> </w:t>
      </w:r>
      <w:r>
        <w:t xml:space="preserve">“abundance|prevalence ~ leachate * hpf + reads + (1|spawn_night)”</w:t>
      </w:r>
      <w:r>
        <w:t xml:space="preserve">.</w:t>
      </w:r>
      <w:r>
        <w:t xml:space="preserve"> </w:t>
      </w:r>
      <w:r>
        <w:t xml:space="preserve">This framework tested both abundance and prevalence responses while</w:t>
      </w:r>
      <w:r>
        <w:t xml:space="preserve"> </w:t>
      </w:r>
      <w:r>
        <w:t xml:space="preserve">accounting for sequencing depth and variation among spawn nights.</w:t>
      </w:r>
    </w:p>
    <w:p>
      <w:pPr>
        <w:pStyle w:val="BodyText"/>
      </w:pPr>
      <w:r>
        <w:t xml:space="preserve">Across 885 bacterial genera tested, eight genera showed significant</w:t>
      </w:r>
      <w:r>
        <w:t xml:space="preserve"> </w:t>
      </w:r>
      <w:r>
        <w:t xml:space="preserve">associations with leachate exposure in the abundance model and eight</w:t>
      </w:r>
      <w:r>
        <w:t xml:space="preserve"> </w:t>
      </w:r>
      <w:r>
        <w:t xml:space="preserve">genera showed significant associations in the prevalence model after</w:t>
      </w:r>
      <w:r>
        <w:t xml:space="preserve"> </w:t>
      </w:r>
      <w:r>
        <w:t xml:space="preserve">filtering for models without fitting errors and joint false discovery</w:t>
      </w:r>
      <w:r>
        <w:t xml:space="preserve"> </w:t>
      </w:r>
      <w:r>
        <w:t xml:space="preserve">rates of</w:t>
      </w:r>
      <w:r>
        <w:t xml:space="preserve"> </w:t>
      </w:r>
      <w:r>
        <w:rPr>
          <w:i/>
          <w:iCs/>
        </w:rPr>
        <w:t xml:space="preserve">q</w:t>
      </w:r>
      <w:r>
        <w:t xml:space="preserve"> </w:t>
      </w:r>
      <w:r>
        <w:t xml:space="preserve">&lt; 0.1. Seven of these genera overlapped between the</w:t>
      </w:r>
      <w:r>
        <w:t xml:space="preserve"> </w:t>
      </w:r>
      <w:r>
        <w:t xml:space="preserve">abundance and prevalence analyses, indicating that most responsive taxa</w:t>
      </w:r>
      <w:r>
        <w:t xml:space="preserve"> </w:t>
      </w:r>
      <w:r>
        <w:t xml:space="preserve">exhibited coordinated shifts in both relative abundance and detection</w:t>
      </w:r>
      <w:r>
        <w:t xml:space="preserve"> </w:t>
      </w:r>
      <w:r>
        <w:t xml:space="preserve">probability across treatments. Responsive taxa included members of the</w:t>
      </w:r>
      <w:r>
        <w:t xml:space="preserve"> </w:t>
      </w:r>
      <w:r>
        <w:t xml:space="preserve">genera</w:t>
      </w:r>
      <w:r>
        <w:t xml:space="preserve"> </w:t>
      </w:r>
      <w:r>
        <w:rPr>
          <w:i/>
          <w:iCs/>
        </w:rPr>
        <w:t xml:space="preserve">Tropicibacter</w:t>
      </w:r>
      <w:r>
        <w:t xml:space="preserve">,</w:t>
      </w:r>
      <w:r>
        <w:t xml:space="preserve"> </w:t>
      </w:r>
      <w:r>
        <w:rPr>
          <w:i/>
          <w:iCs/>
        </w:rPr>
        <w:t xml:space="preserve">Sulfitobacter</w:t>
      </w:r>
      <w:r>
        <w:t xml:space="preserve">,</w:t>
      </w:r>
      <w:r>
        <w:t xml:space="preserve"> </w:t>
      </w:r>
      <w:r>
        <w:rPr>
          <w:i/>
          <w:iCs/>
        </w:rPr>
        <w:t xml:space="preserve">Peredibacter</w:t>
      </w:r>
      <w:r>
        <w:t xml:space="preserve">,</w:t>
      </w:r>
      <w:r>
        <w:t xml:space="preserve"> </w:t>
      </w:r>
      <w:r>
        <w:rPr>
          <w:i/>
          <w:iCs/>
        </w:rPr>
        <w:t xml:space="preserve">Pontibacterium</w:t>
      </w:r>
      <w:r>
        <w:t xml:space="preserve">, PS1 clade taxa, uncultured</w:t>
      </w:r>
      <w:r>
        <w:t xml:space="preserve"> </w:t>
      </w:r>
      <w:r>
        <w:rPr>
          <w:i/>
          <w:iCs/>
        </w:rPr>
        <w:t xml:space="preserve">Neisseriaceae</w:t>
      </w:r>
      <w:r>
        <w:t xml:space="preserve">, and Marine</w:t>
      </w:r>
      <w:r>
        <w:t xml:space="preserve"> </w:t>
      </w:r>
      <w:r>
        <w:t xml:space="preserve">Methylotrophic Group 3 (</w:t>
      </w:r>
      <w:r>
        <w:t xml:space="preserve"> </w:t>
      </w:r>
      <w:hyperlink w:anchor="fig-bac-abun">
        <w:r>
          <w:rPr>
            <w:rStyle w:val="Hyperlink"/>
          </w:rPr>
          <w:t xml:space="preserve">Figure 14</w:t>
        </w:r>
      </w:hyperlink>
      <w:r>
        <w:t xml:space="preserve">). One genus within the</w:t>
      </w:r>
      <w:r>
        <w:t xml:space="preserve"> </w:t>
      </w:r>
      <w:r>
        <w:rPr>
          <w:i/>
          <w:iCs/>
        </w:rPr>
        <w:t xml:space="preserve">Longimicrobiaceae</w:t>
      </w:r>
      <w:r>
        <w:t xml:space="preserve"> </w:t>
      </w:r>
      <w:r>
        <w:t xml:space="preserve">was uniquely significant in prevalence models (</w:t>
      </w:r>
      <w:r>
        <w:t xml:space="preserve"> </w:t>
      </w:r>
      <w:hyperlink w:anchor="fig-bac-prev">
        <w:r>
          <w:rPr>
            <w:rStyle w:val="Hyperlink"/>
          </w:rPr>
          <w:t xml:space="preserve">Figure 15</w:t>
        </w:r>
      </w:hyperlink>
      <w:r>
        <w:t xml:space="preserve">), while</w:t>
      </w:r>
      <w:r>
        <w:t xml:space="preserve"> </w:t>
      </w:r>
      <w:r>
        <w:rPr>
          <w:i/>
          <w:iCs/>
        </w:rPr>
        <w:t xml:space="preserve">Leeuwenhoekiella</w:t>
      </w:r>
      <w:r>
        <w:t xml:space="preserve"> </w:t>
      </w:r>
      <w:r>
        <w:t xml:space="preserve">was uniquely significant in</w:t>
      </w:r>
      <w:r>
        <w:t xml:space="preserve"> </w:t>
      </w:r>
      <w:r>
        <w:t xml:space="preserve">abundance models (</w:t>
      </w:r>
      <w:r>
        <w:t xml:space="preserve"> </w:t>
      </w:r>
      <w:hyperlink w:anchor="fig-bac-abun">
        <w:r>
          <w:rPr>
            <w:rStyle w:val="Hyperlink"/>
          </w:rPr>
          <w:t xml:space="preserve">Figure 14</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01" w:name="fig-bac-abun"/>
          <w:p>
            <w:pPr>
              <w:pStyle w:val="Compact"/>
              <w:jc w:val="center"/>
            </w:pPr>
            <w:bookmarkStart w:id="100" w:name="fig-bac-abun"/>
            <w:r>
              <w:drawing>
                <wp:inline>
                  <wp:extent cx="5334000" cy="9144000"/>
                  <wp:effectExtent b="0" l="0" r="0" t="0"/>
                  <wp:docPr descr="" title="" id="98" name="Picture"/>
                  <a:graphic>
                    <a:graphicData uri="http://schemas.openxmlformats.org/drawingml/2006/picture">
                      <pic:pic>
                        <pic:nvPicPr>
                          <pic:cNvPr descr="figs/genus_abundance.png" id="99" name="Picture"/>
                          <pic:cNvPicPr>
                            <a:picLocks noChangeArrowheads="1" noChangeAspect="1"/>
                          </pic:cNvPicPr>
                        </pic:nvPicPr>
                        <pic:blipFill>
                          <a:blip r:embed="rId97"/>
                          <a:stretch>
                            <a:fillRect/>
                          </a:stretch>
                        </pic:blipFill>
                        <pic:spPr bwMode="auto">
                          <a:xfrm>
                            <a:off x="0" y="0"/>
                            <a:ext cx="5334000" cy="9144000"/>
                          </a:xfrm>
                          <a:prstGeom prst="rect">
                            <a:avLst/>
                          </a:prstGeom>
                          <a:noFill/>
                          <a:ln w="9525">
                            <a:noFill/>
                            <a:headEnd/>
                            <a:tailEnd/>
                          </a:ln>
                        </pic:spPr>
                      </pic:pic>
                    </a:graphicData>
                  </a:graphic>
                </wp:inline>
              </w:drawing>
            </w:r>
            <w:bookmarkEnd w:id="100"/>
          </w:p>
          <w:p>
            <w:pPr>
              <w:jc w:val="center"/>
            </w:pPr>
            <w:pPr>
              <w:jc w:val="left"/>
              <w:spacing w:before="200"/>
              <w:pStyle w:val="ImageCaption"/>
            </w:pPr>
            <w:r>
              <w:t xml:space="preserve">Figure 14</w:t>
            </w:r>
          </w:p>
          <w:bookmarkEnd w:id="101"/>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06" w:name="fig-bac-prev"/>
          <w:p>
            <w:pPr>
              <w:pStyle w:val="Compact"/>
              <w:jc w:val="center"/>
            </w:pPr>
            <w:bookmarkStart w:id="105" w:name="fig-bac-prev"/>
            <w:r>
              <w:drawing>
                <wp:inline>
                  <wp:extent cx="5334000" cy="9144000"/>
                  <wp:effectExtent b="0" l="0" r="0" t="0"/>
                  <wp:docPr descr="" title="" id="103" name="Picture"/>
                  <a:graphic>
                    <a:graphicData uri="http://schemas.openxmlformats.org/drawingml/2006/picture">
                      <pic:pic>
                        <pic:nvPicPr>
                          <pic:cNvPr descr="figs/genus_prevalence.png" id="104" name="Picture"/>
                          <pic:cNvPicPr>
                            <a:picLocks noChangeArrowheads="1" noChangeAspect="1"/>
                          </pic:cNvPicPr>
                        </pic:nvPicPr>
                        <pic:blipFill>
                          <a:blip r:embed="rId102"/>
                          <a:stretch>
                            <a:fillRect/>
                          </a:stretch>
                        </pic:blipFill>
                        <pic:spPr bwMode="auto">
                          <a:xfrm>
                            <a:off x="0" y="0"/>
                            <a:ext cx="5334000" cy="9144000"/>
                          </a:xfrm>
                          <a:prstGeom prst="rect">
                            <a:avLst/>
                          </a:prstGeom>
                          <a:noFill/>
                          <a:ln w="9525">
                            <a:noFill/>
                            <a:headEnd/>
                            <a:tailEnd/>
                          </a:ln>
                        </pic:spPr>
                      </pic:pic>
                    </a:graphicData>
                  </a:graphic>
                </wp:inline>
              </w:drawing>
            </w:r>
            <w:bookmarkEnd w:id="105"/>
          </w:p>
          <w:p>
            <w:pPr>
              <w:jc w:val="center"/>
            </w:pPr>
            <w:pPr>
              <w:jc w:val="left"/>
              <w:spacing w:before="200"/>
              <w:pStyle w:val="ImageCaption"/>
            </w:pPr>
            <w:r>
              <w:t xml:space="preserve">Figure 15</w:t>
            </w:r>
          </w:p>
          <w:bookmarkEnd w:id="106"/>
        </w:tc>
      </w:tr>
    </w:tbl>
    <w:p>
      <w:pPr>
        <w:pStyle w:val="BodyText"/>
      </w:pPr>
      <w:r>
        <w:t xml:space="preserve">In contrast, an alternative model treating leachate level as a</w:t>
      </w:r>
      <w:r>
        <w:t xml:space="preserve"> </w:t>
      </w:r>
      <w:r>
        <w:t xml:space="preserve">continuous linear predictor detected no significant leachate-associated</w:t>
      </w:r>
      <w:r>
        <w:t xml:space="preserve"> </w:t>
      </w:r>
      <w:r>
        <w:t xml:space="preserve">taxa. The absence of significant linear responses, combined with</w:t>
      </w:r>
      <w:r>
        <w:t xml:space="preserve"> </w:t>
      </w:r>
      <w:r>
        <w:t xml:space="preserve">significant associations in the categorical model, suggests that</w:t>
      </w:r>
      <w:r>
        <w:t xml:space="preserve"> </w:t>
      </w:r>
      <w:r>
        <w:t xml:space="preserve">bacterial responses to PVC leachate were non-linear across exposure</w:t>
      </w:r>
      <w:r>
        <w:t xml:space="preserve"> </w:t>
      </w:r>
      <w:r>
        <w:t xml:space="preserve">levels. Several taxa displayed the strongest shifts at low or</w:t>
      </w:r>
      <w:r>
        <w:t xml:space="preserve"> </w:t>
      </w:r>
      <w:r>
        <w:t xml:space="preserve">intermediate leachate levels compared to the high leachate level, rather</w:t>
      </w:r>
      <w:r>
        <w:t xml:space="preserve"> </w:t>
      </w:r>
      <w:r>
        <w:t xml:space="preserve">than a monotonic relationship across the level gradient, consistent with</w:t>
      </w:r>
      <w:r>
        <w:t xml:space="preserve"> </w:t>
      </w:r>
      <w:r>
        <w:t xml:space="preserve">our hypothesis that we would observe low-dose responses.</w:t>
      </w:r>
    </w:p>
    <w:p>
      <w:pPr>
        <w:pStyle w:val="BodyText"/>
      </w:pPr>
      <w:r>
        <w:t xml:space="preserve">Although only a small proportion of taxa responded significantly to</w:t>
      </w:r>
      <w:r>
        <w:t xml:space="preserve"> </w:t>
      </w:r>
      <w:r>
        <w:t xml:space="preserve">leachate exposure (0.9% of genera tested), these results exceeded</w:t>
      </w:r>
      <w:r>
        <w:t xml:space="preserve"> </w:t>
      </w:r>
      <w:r>
        <w:t xml:space="preserve">expectations under random chance given the applied false discovery</w:t>
      </w:r>
      <w:r>
        <w:t xml:space="preserve"> </w:t>
      </w:r>
      <w:r>
        <w:t xml:space="preserve">threshold and stringent filtering criteria. Relative abundance and</w:t>
      </w:r>
      <w:r>
        <w:t xml:space="preserve"> </w:t>
      </w:r>
      <w:r>
        <w:t xml:space="preserve">prevalence visualizations further indicated that responsive taxa varied</w:t>
      </w:r>
      <w:r>
        <w:t xml:space="preserve"> </w:t>
      </w:r>
      <w:r>
        <w:t xml:space="preserve">across developmental stages, with some genera exhibiting stage-specific</w:t>
      </w:r>
      <w:r>
        <w:t xml:space="preserve"> </w:t>
      </w:r>
      <w:r>
        <w:t xml:space="preserve">increases or decreases in abundance and detection probability under</w:t>
      </w:r>
      <w:r>
        <w:t xml:space="preserve"> </w:t>
      </w:r>
      <w:r>
        <w:t xml:space="preserve">leachate exposure. Overall, these findings suggest that PVC leachate did</w:t>
      </w:r>
      <w:r>
        <w:t xml:space="preserve"> </w:t>
      </w:r>
      <w:r>
        <w:t xml:space="preserve">not broadly restructure the embryonic microbiome, but instead produced</w:t>
      </w:r>
      <w:r>
        <w:t xml:space="preserve"> </w:t>
      </w:r>
      <w:r>
        <w:t xml:space="preserve">targeted and non-linear shifts in a limited subset of bacterial taxa.</w:t>
      </w:r>
    </w:p>
    <w:bookmarkEnd w:id="107"/>
    <w:bookmarkStart w:id="108" w:name="predicted-functional-enrichment"/>
    <w:p>
      <w:pPr>
        <w:pStyle w:val="Heading4"/>
      </w:pPr>
      <w:r>
        <w:t xml:space="preserve">Predicted functional enrichment</w:t>
      </w:r>
    </w:p>
    <w:p>
      <w:pPr>
        <w:pStyle w:val="FirstParagraph"/>
      </w:pPr>
      <w:r>
        <w:t xml:space="preserve">Differential abundance and prevalence testing of PICRUSt2-predicted</w:t>
      </w:r>
      <w:r>
        <w:t xml:space="preserve"> </w:t>
      </w:r>
      <w:r>
        <w:t xml:space="preserve">MetaCyc pathways identified multiple microbial functional pathways</w:t>
      </w:r>
      <w:r>
        <w:t xml:space="preserve"> </w:t>
      </w:r>
      <w:r>
        <w:t xml:space="preserve">associated with PVC leachate exposure and stage-dependent responses.</w:t>
      </w:r>
      <w:r>
        <w:t xml:space="preserve"> </w:t>
      </w:r>
      <w:r>
        <w:t xml:space="preserve">Functional shifts were distributed across pathways involved in</w:t>
      </w:r>
      <w:r>
        <w:t xml:space="preserve"> </w:t>
      </w:r>
      <w:r>
        <w:t xml:space="preserve">methanogenesis, carbon fixation, aromatic compound degradation,</w:t>
      </w:r>
      <w:r>
        <w:t xml:space="preserve"> </w:t>
      </w:r>
      <w:r>
        <w:t xml:space="preserve">chlorinated compound degradation, and precursor metabolite biosynthesis.</w:t>
      </w:r>
    </w:p>
    <w:p>
      <w:pPr>
        <w:pStyle w:val="BodyText"/>
      </w:pPr>
      <w:r>
        <w:t xml:space="preserve">Several significant pathways were associated with methane metabolism and</w:t>
      </w:r>
      <w:r>
        <w:t xml:space="preserve"> </w:t>
      </w:r>
      <w:r>
        <w:t xml:space="preserve">anaerobic carbon cycling, including the superpathway of C1 compound</w:t>
      </w:r>
      <w:r>
        <w:t xml:space="preserve"> </w:t>
      </w:r>
      <w:r>
        <w:t xml:space="preserve">oxidation to CO</w:t>
      </w:r>
      <w:r>
        <w:rPr>
          <w:vertAlign w:val="subscript"/>
        </w:rPr>
        <w:t xml:space="preserve">2</w:t>
      </w:r>
      <w:r>
        <w:t xml:space="preserve">​ (PWY-1882), methyl-coenzyme M oxidation to CO</w:t>
      </w:r>
      <w:r>
        <w:rPr>
          <w:vertAlign w:val="subscript"/>
        </w:rPr>
        <w:t xml:space="preserve">2</w:t>
      </w:r>
      <w:r>
        <w:t xml:space="preserve">​ I</w:t>
      </w:r>
      <w:r>
        <w:t xml:space="preserve"> </w:t>
      </w:r>
      <w:r>
        <w:t xml:space="preserve">(PWY-5209), and the reductive acetyl-CoA pathway in autotrophic</w:t>
      </w:r>
      <w:r>
        <w:t xml:space="preserve"> </w:t>
      </w:r>
      <w:r>
        <w:t xml:space="preserve">methanogens (PWY-7784). These pathways are primarily associated with</w:t>
      </w:r>
      <w:r>
        <w:t xml:space="preserve"> </w:t>
      </w:r>
      <w:r>
        <w:t xml:space="preserve">archaeal methanogenic and methylotrophic metabolism and suggest shifts</w:t>
      </w:r>
      <w:r>
        <w:t xml:space="preserve"> </w:t>
      </w:r>
      <w:r>
        <w:t xml:space="preserve">in microbial functional potential related to anaerobic respiration and</w:t>
      </w:r>
      <w:r>
        <w:t xml:space="preserve"> </w:t>
      </w:r>
      <w:r>
        <w:t xml:space="preserve">carbon processing in the</w:t>
      </w:r>
      <w:r>
        <w:t xml:space="preserve"> </w:t>
      </w:r>
      <w:r>
        <w:rPr>
          <w:i/>
          <w:iCs/>
        </w:rPr>
        <w:t xml:space="preserve">Marine Methylotrophic Group 3</w:t>
      </w:r>
      <w:r>
        <w:t xml:space="preserve"> </w:t>
      </w:r>
      <w:r>
        <w:t xml:space="preserve">differentially</w:t>
      </w:r>
      <w:r>
        <w:t xml:space="preserve"> </w:t>
      </w:r>
      <w:r>
        <w:t xml:space="preserve">abundant taxa.</w:t>
      </w:r>
    </w:p>
    <w:p>
      <w:pPr>
        <w:pStyle w:val="BodyText"/>
      </w:pPr>
      <w:r>
        <w:t xml:space="preserve">Additional predicted pathways involved aromatic and chlorinated compound</w:t>
      </w:r>
      <w:r>
        <w:t xml:space="preserve"> </w:t>
      </w:r>
      <w:r>
        <w:t xml:space="preserve">degradation, including cinnamate and hydroxycinnamate degradation</w:t>
      </w:r>
      <w:r>
        <w:t xml:space="preserve"> </w:t>
      </w:r>
      <w:r>
        <w:t xml:space="preserve">(PWY-6690), 3-phenylpropanoate degradation (HCAMHPDEG-PWY; PWY0-1277),</w:t>
      </w:r>
      <w:r>
        <w:t xml:space="preserve"> </w:t>
      </w:r>
      <w:r>
        <w:t xml:space="preserve">toluene degradation (TOLUENE-DEG-3-OH-PWY), pentachlorophenol</w:t>
      </w:r>
      <w:r>
        <w:t xml:space="preserve"> </w:t>
      </w:r>
      <w:r>
        <w:t xml:space="preserve">degradation (PCPDEG-PWY), and dichlorobenzene degradation</w:t>
      </w:r>
      <w:r>
        <w:t xml:space="preserve"> </w:t>
      </w:r>
      <w:r>
        <w:t xml:space="preserve">(14DICHLORBENZDEG-PWY; PWY-6084). Many of these pathways are associated</w:t>
      </w:r>
      <w:r>
        <w:t xml:space="preserve"> </w:t>
      </w:r>
      <w:r>
        <w:t xml:space="preserve">with bacterial degradation of aromatic hydrocarbons and chlorinated</w:t>
      </w:r>
      <w:r>
        <w:t xml:space="preserve"> </w:t>
      </w:r>
      <w:r>
        <w:t xml:space="preserve">compounds, which are commonly linked to anthropogenic pollution and</w:t>
      </w:r>
      <w:r>
        <w:t xml:space="preserve"> </w:t>
      </w:r>
      <w:r>
        <w:t xml:space="preserve">industrial contaminants. The enrichment of pathways related to aromatic</w:t>
      </w:r>
      <w:r>
        <w:t xml:space="preserve"> </w:t>
      </w:r>
      <w:r>
        <w:t xml:space="preserve">and chlorinated compound metabolism suggests that PVC leachate exposure</w:t>
      </w:r>
      <w:r>
        <w:t xml:space="preserve"> </w:t>
      </w:r>
      <w:r>
        <w:t xml:space="preserve">may favor microbial taxa capable of metabolizing plastic-associated</w:t>
      </w:r>
      <w:r>
        <w:t xml:space="preserve"> </w:t>
      </w:r>
      <w:r>
        <w:t xml:space="preserve">organic compounds or responding to chemically stressful environments.</w:t>
      </w:r>
    </w:p>
    <w:p>
      <w:pPr>
        <w:pStyle w:val="BodyText"/>
      </w:pPr>
      <w:r>
        <w:t xml:space="preserve">Predicted pathways associated with lipid metabolism and signaling were</w:t>
      </w:r>
      <w:r>
        <w:t xml:space="preserve"> </w:t>
      </w:r>
      <w:r>
        <w:t xml:space="preserve">also detected, including phosphatidate metabolism as a signaling</w:t>
      </w:r>
      <w:r>
        <w:t xml:space="preserve"> </w:t>
      </w:r>
      <w:r>
        <w:t xml:space="preserve">molecule (PWY-7039). Because PICRUSt2 predicts functional</w:t>
      </w:r>
      <w:r>
        <w:t xml:space="preserve"> </w:t>
      </w:r>
      <w:r>
        <w:rPr>
          <w:i/>
          <w:iCs/>
        </w:rPr>
        <w:t xml:space="preserve">potential</w:t>
      </w:r>
      <w:r>
        <w:t xml:space="preserve"> </w:t>
      </w:r>
      <w:r>
        <w:t xml:space="preserve">from taxonomic composition rather than directly measuring gene</w:t>
      </w:r>
      <w:r>
        <w:t xml:space="preserve"> </w:t>
      </w:r>
      <w:r>
        <w:t xml:space="preserve">expression or metabolism, these results represent</w:t>
      </w:r>
      <w:r>
        <w:t xml:space="preserve"> </w:t>
      </w:r>
      <w:r>
        <w:rPr>
          <w:i/>
          <w:iCs/>
        </w:rPr>
        <w:t xml:space="preserve">inferred</w:t>
      </w:r>
      <w:r>
        <w:t xml:space="preserve"> </w:t>
      </w:r>
      <w:r>
        <w:t xml:space="preserve">functional</w:t>
      </w:r>
      <w:r>
        <w:t xml:space="preserve"> </w:t>
      </w:r>
      <w:r>
        <w:t xml:space="preserve">capacity rather than confirmed metabolic activity.</w:t>
      </w:r>
    </w:p>
    <w:bookmarkEnd w:id="108"/>
    <w:bookmarkEnd w:id="109"/>
    <w:bookmarkEnd w:id="110"/>
    <w:bookmarkStart w:id="114" w:name="discussion"/>
    <w:p>
      <w:pPr>
        <w:pStyle w:val="Heading2"/>
      </w:pPr>
      <w:r>
        <w:t xml:space="preserve">Discussion</w:t>
      </w:r>
    </w:p>
    <w:p>
      <w:pPr>
        <w:pStyle w:val="FirstParagraph"/>
      </w:pPr>
      <w:r>
        <w:t xml:space="preserve">Plastic pollution is an emerging threat to coral reefs, not only as a</w:t>
      </w:r>
      <w:r>
        <w:t xml:space="preserve"> </w:t>
      </w:r>
      <w:r>
        <w:t xml:space="preserve">physical stressor but also as a source of chemical contaminants that may</w:t>
      </w:r>
      <w:r>
        <w:t xml:space="preserve"> </w:t>
      </w:r>
      <w:r>
        <w:t xml:space="preserve">disrupt sensitive developmental processes. Here, we show that</w:t>
      </w:r>
      <w:r>
        <w:t xml:space="preserve"> </w:t>
      </w:r>
      <w:r>
        <w:t xml:space="preserve">environmentally relevant levels of PVC leachate can trigger subtle</w:t>
      </w:r>
      <w:r>
        <w:t xml:space="preserve"> </w:t>
      </w:r>
      <w:r>
        <w:t xml:space="preserve">shifts in developmental timing, gene expression, and specific microbial</w:t>
      </w:r>
      <w:r>
        <w:t xml:space="preserve"> </w:t>
      </w:r>
      <w:r>
        <w:t xml:space="preserve">taxa in</w:t>
      </w:r>
      <w:r>
        <w:t xml:space="preserve"> </w:t>
      </w:r>
      <w:r>
        <w:rPr>
          <w:i/>
          <w:iCs/>
        </w:rPr>
        <w:t xml:space="preserve">Montipora capitata</w:t>
      </w:r>
      <w:r>
        <w:t xml:space="preserve"> </w:t>
      </w:r>
      <w:r>
        <w:t xml:space="preserve">within the first 14 hours of development,</w:t>
      </w:r>
      <w:r>
        <w:t xml:space="preserve"> </w:t>
      </w:r>
      <w:r>
        <w:t xml:space="preserve">despite no detectable effects on survival or visible abnormalities.</w:t>
      </w:r>
      <w:r>
        <w:t xml:space="preserve"> </w:t>
      </w:r>
      <w:r>
        <w:t xml:space="preserve">These findings reveal that plastic-derived chemicals can induce early,</w:t>
      </w:r>
      <w:r>
        <w:t xml:space="preserve"> </w:t>
      </w:r>
      <w:r>
        <w:t xml:space="preserve">sublethal biological responses that are missed by traditional toxicity</w:t>
      </w:r>
      <w:r>
        <w:t xml:space="preserve"> </w:t>
      </w:r>
      <w:r>
        <w:t xml:space="preserve">endpoints, highlighting previously under-explored mechanisms by which</w:t>
      </w:r>
      <w:r>
        <w:t xml:space="preserve"> </w:t>
      </w:r>
      <w:r>
        <w:t xml:space="preserve">plastic pollution may already be impacting coral resilience.</w:t>
      </w:r>
    </w:p>
    <w:bookmarkStart w:id="111" w:name="Xfce2e345f55793928ba66814a4765dbc8f527d6"/>
    <w:p>
      <w:pPr>
        <w:pStyle w:val="Heading3"/>
      </w:pPr>
      <w:r>
        <w:rPr>
          <w:i/>
          <w:iCs/>
        </w:rPr>
        <w:t xml:space="preserve">H</w:t>
      </w:r>
      <w:r>
        <w:rPr>
          <w:i/>
          <w:iCs/>
          <w:vertAlign w:val="subscript"/>
        </w:rPr>
        <w:t xml:space="preserve">1</w:t>
      </w:r>
      <w:r>
        <w:t xml:space="preserve">: Coral development slightly accelerated at low and moderate PVC leachate exposures</w:t>
      </w:r>
    </w:p>
    <w:p>
      <w:pPr>
        <w:pStyle w:val="FirstParagraph"/>
      </w:pPr>
      <w:r>
        <w:t xml:space="preserve">The effects of leachate varied across both level and developmental time.</w:t>
      </w:r>
      <w:r>
        <w:t xml:space="preserve"> </w:t>
      </w:r>
      <w:r>
        <w:t xml:space="preserve">The strongest treatment-dependent response was observed during the</w:t>
      </w:r>
      <w:r>
        <w:t xml:space="preserve"> </w:t>
      </w:r>
      <w:r>
        <w:t xml:space="preserve">prawnchip stage, particularly under low and moderate PVC leachate</w:t>
      </w:r>
      <w:r>
        <w:t xml:space="preserve"> </w:t>
      </w:r>
      <w:r>
        <w:t xml:space="preserve">exposure. These results indicate that PVC leachate did not broadly</w:t>
      </w:r>
      <w:r>
        <w:t xml:space="preserve"> </w:t>
      </w:r>
      <w:r>
        <w:t xml:space="preserve">disrupt embryogenesis or induce developmental arrest, but instead caused</w:t>
      </w:r>
      <w:r>
        <w:t xml:space="preserve"> </w:t>
      </w:r>
      <w:r>
        <w:t xml:space="preserve">subtle, stage-specific shifts in developmental pace. Developmental</w:t>
      </w:r>
      <w:r>
        <w:t xml:space="preserve"> </w:t>
      </w:r>
      <w:r>
        <w:t xml:space="preserve">timing in marine larvae is highly plastic and responds to environmental</w:t>
      </w:r>
      <w:r>
        <w:t xml:space="preserve"> </w:t>
      </w:r>
      <w:r>
        <w:t xml:space="preserve">conditions, such as temperature, with warmer conditions often</w:t>
      </w:r>
      <w:r>
        <w:t xml:space="preserve"> </w:t>
      </w:r>
      <w:r>
        <w:t xml:space="preserve">accelerating embryonic development and influencing dispersal and</w:t>
      </w:r>
      <w:r>
        <w:t xml:space="preserve"> </w:t>
      </w:r>
      <w:r>
        <w:t xml:space="preserve">recruitment success</w:t>
      </w:r>
      <w:r>
        <w:t xml:space="preserve"> </w:t>
      </w:r>
      <w:r>
        <w:t xml:space="preserve">(O’Connor et al. 2007; Woolsey et al. 2013)</w:t>
      </w:r>
      <w:r>
        <w:t xml:space="preserve">. Our findings</w:t>
      </w:r>
      <w:r>
        <w:t xml:space="preserve"> </w:t>
      </w:r>
      <w:r>
        <w:t xml:space="preserve">suggest that plastic-derived chemicals may similarly influence</w:t>
      </w:r>
      <w:r>
        <w:t xml:space="preserve"> </w:t>
      </w:r>
      <w:r>
        <w:t xml:space="preserve">developmental timing by interacting with endocrine-like signaling</w:t>
      </w:r>
      <w:r>
        <w:t xml:space="preserve"> </w:t>
      </w:r>
      <w:r>
        <w:t xml:space="preserve">pathways involved in growth and differentiation (</w:t>
      </w:r>
      <w:r>
        <w:t xml:space="preserve">Tarrant (2007)</w:t>
      </w:r>
      <w:r>
        <w:t xml:space="preserve">,</w:t>
      </w:r>
      <w:r>
        <w:t xml:space="preserve"> </w:t>
      </w:r>
      <w:hyperlink w:anchor="fig-radar">
        <w:r>
          <w:rPr>
            <w:rStyle w:val="Hyperlink"/>
          </w:rPr>
          <w:t xml:space="preserve">Figure 9</w:t>
        </w:r>
      </w:hyperlink>
      <w:r>
        <w:t xml:space="preserve">). The fact that responses were strongest at low and</w:t>
      </w:r>
      <w:r>
        <w:t xml:space="preserve"> </w:t>
      </w:r>
      <w:r>
        <w:t xml:space="preserve">intermediate levels, rather than at the highest exposure level, is</w:t>
      </w:r>
      <w:r>
        <w:t xml:space="preserve"> </w:t>
      </w:r>
      <w:r>
        <w:t xml:space="preserve">consistent with non-monotonic response patterns commonly reported for</w:t>
      </w:r>
      <w:r>
        <w:t xml:space="preserve"> </w:t>
      </w:r>
      <w:r>
        <w:t xml:space="preserve">endocrine-disrupting compounds such as plasticizers and other PVC</w:t>
      </w:r>
      <w:r>
        <w:t xml:space="preserve"> </w:t>
      </w:r>
      <w:r>
        <w:t xml:space="preserve">additives</w:t>
      </w:r>
      <w:r>
        <w:t xml:space="preserve"> </w:t>
      </w:r>
      <w:r>
        <w:t xml:space="preserve">(Vandenberg et al. 2012)</w:t>
      </w:r>
      <w:r>
        <w:t xml:space="preserve">.</w:t>
      </w:r>
    </w:p>
    <w:p>
      <w:pPr>
        <w:pStyle w:val="BodyText"/>
      </w:pPr>
      <w:r>
        <w:t xml:space="preserve">One prior study found that weathered polypropylene microplastics</w:t>
      </w:r>
      <w:r>
        <w:t xml:space="preserve"> </w:t>
      </w:r>
      <w:r>
        <w:t xml:space="preserve">minimally reduced fertilization success and increased embryo</w:t>
      </w:r>
      <w:r>
        <w:t xml:space="preserve"> </w:t>
      </w:r>
      <w:r>
        <w:t xml:space="preserve">abnormalities in a non-dose dependent manner in the reef-building coral</w:t>
      </w:r>
      <w:r>
        <w:t xml:space="preserve"> </w:t>
      </w:r>
      <w:r>
        <w:rPr>
          <w:i/>
          <w:iCs/>
        </w:rPr>
        <w:t xml:space="preserve">Acropora tenuis</w:t>
      </w:r>
      <w:r>
        <w:t xml:space="preserve"> </w:t>
      </w:r>
      <w:r>
        <w:t xml:space="preserve">(Berry et al. 2019)</w:t>
      </w:r>
      <w:r>
        <w:t xml:space="preserve">. Furthermore, exposure to high-density</w:t>
      </w:r>
      <w:r>
        <w:t xml:space="preserve"> </w:t>
      </w:r>
      <w:r>
        <w:t xml:space="preserve">polyethylene (HDPE) leachate reduced larval survival and settlement in</w:t>
      </w:r>
      <w:r>
        <w:t xml:space="preserve"> </w:t>
      </w:r>
      <w:r>
        <w:t xml:space="preserve">both</w:t>
      </w:r>
      <w:r>
        <w:t xml:space="preserve"> </w:t>
      </w:r>
      <w:r>
        <w:rPr>
          <w:i/>
          <w:iCs/>
        </w:rPr>
        <w:t xml:space="preserve">M. capitata</w:t>
      </w:r>
      <w:r>
        <w:t xml:space="preserve"> </w:t>
      </w:r>
      <w:r>
        <w:t xml:space="preserve">and</w:t>
      </w:r>
      <w:r>
        <w:t xml:space="preserve"> </w:t>
      </w:r>
      <w:r>
        <w:rPr>
          <w:i/>
          <w:iCs/>
        </w:rPr>
        <w:t xml:space="preserve">Porites</w:t>
      </w:r>
      <w:r>
        <w:t xml:space="preserve"> </w:t>
      </w:r>
      <w:r>
        <w:t xml:space="preserve">species, with higher levels (200mg/L)</w:t>
      </w:r>
      <w:r>
        <w:t xml:space="preserve"> </w:t>
      </w:r>
      <w:r>
        <w:t xml:space="preserve">of high-density polyethylene (HDPE) leachate treatments paradoxically</w:t>
      </w:r>
      <w:r>
        <w:t xml:space="preserve"> </w:t>
      </w:r>
      <w:r>
        <w:t xml:space="preserve">promoting settlement, potentially through attraction to chemical cues</w:t>
      </w:r>
      <w:r>
        <w:t xml:space="preserve"> </w:t>
      </w:r>
      <w:r>
        <w:t xml:space="preserve">associated with degrading plastics (</w:t>
      </w:r>
      <w:r>
        <w:t xml:space="preserve">Wilkins and Richmond (2025)</w:t>
      </w:r>
      <w:r>
        <w:t xml:space="preserve">).</w:t>
      </w:r>
    </w:p>
    <w:p>
      <w:pPr>
        <w:pStyle w:val="BodyText"/>
      </w:pPr>
      <w:r>
        <w:t xml:space="preserve">Our findings suggest that the prawnchip stage represents a critical</w:t>
      </w:r>
      <w:r>
        <w:t xml:space="preserve"> </w:t>
      </w:r>
      <w:r>
        <w:t xml:space="preserve">developmental bottleneck in</w:t>
      </w:r>
      <w:r>
        <w:t xml:space="preserve"> </w:t>
      </w:r>
      <w:r>
        <w:rPr>
          <w:i/>
          <w:iCs/>
        </w:rPr>
        <w:t xml:space="preserve">Montipora capitata</w:t>
      </w:r>
      <w:r>
        <w:t xml:space="preserve">, as embryos at this</w:t>
      </w:r>
      <w:r>
        <w:t xml:space="preserve"> </w:t>
      </w:r>
      <w:r>
        <w:t xml:space="preserve">stage are more prone to fragmentation, likely due to the thin</w:t>
      </w:r>
      <w:r>
        <w:t xml:space="preserve"> </w:t>
      </w:r>
      <w:r>
        <w:t xml:space="preserve">single-cell epithelial layer that characterizes this bizarre stage. We</w:t>
      </w:r>
      <w:r>
        <w:t xml:space="preserve"> </w:t>
      </w:r>
      <w:r>
        <w:t xml:space="preserve">observed more torn embryos at 9 hpf relative to 4 or 14 hpf regardless</w:t>
      </w:r>
      <w:r>
        <w:t xml:space="preserve"> </w:t>
      </w:r>
      <w:r>
        <w:t xml:space="preserve">of treatment (</w:t>
      </w:r>
      <w:hyperlink w:anchor="fig-survival-timing-morph">
        <w:r>
          <w:rPr>
            <w:rStyle w:val="Hyperlink"/>
          </w:rPr>
          <w:t xml:space="preserve">Figure 4</w:t>
        </w:r>
      </w:hyperlink>
      <w:r>
        <w:t xml:space="preserve"> </w:t>
      </w:r>
      <w:r>
        <w:t xml:space="preserve">C), indicating that this stage</w:t>
      </w:r>
      <w:r>
        <w:t xml:space="preserve"> </w:t>
      </w:r>
      <w:r>
        <w:t xml:space="preserve">may be particularly vulnerable to mechanical damage or developmental</w:t>
      </w:r>
      <w:r>
        <w:t xml:space="preserve"> </w:t>
      </w:r>
      <w:r>
        <w:t xml:space="preserve">abnormalities. In some corals, embryo fragmentation has been proposed as</w:t>
      </w:r>
      <w:r>
        <w:t xml:space="preserve"> </w:t>
      </w:r>
      <w:r>
        <w:t xml:space="preserve">a mechanism for increased reproductive output, provided that fragmented</w:t>
      </w:r>
      <w:r>
        <w:t xml:space="preserve"> </w:t>
      </w:r>
      <w:r>
        <w:t xml:space="preserve">embryos remain viable and continue to develop as twins</w:t>
      </w:r>
      <w:r>
        <w:t xml:space="preserve"> </w:t>
      </w:r>
      <w:r>
        <w:t xml:space="preserve">(Heyward and Negri 2012)</w:t>
      </w:r>
      <w:r>
        <w:t xml:space="preserve">.</w:t>
      </w:r>
    </w:p>
    <w:p>
      <w:pPr>
        <w:pStyle w:val="BodyText"/>
      </w:pPr>
      <w:r>
        <w:t xml:space="preserve">Our morpological findings are supported by our transcriptmoic data,</w:t>
      </w:r>
      <w:r>
        <w:t xml:space="preserve"> </w:t>
      </w:r>
      <w:r>
        <w:t xml:space="preserve">which showed that leachate-responsive genes during early development</w:t>
      </w:r>
      <w:r>
        <w:t xml:space="preserve"> </w:t>
      </w:r>
      <w:r>
        <w:t xml:space="preserve">were associated with cellular signaling and mitotic cell cycle processes</w:t>
      </w:r>
      <w:r>
        <w:t xml:space="preserve"> </w:t>
      </w:r>
      <w:r>
        <w:t xml:space="preserve">(</w:t>
      </w:r>
      <w:hyperlink w:anchor="fig-radar">
        <w:r>
          <w:rPr>
            <w:rStyle w:val="Hyperlink"/>
          </w:rPr>
          <w:t xml:space="preserve">Figure 9</w:t>
        </w:r>
      </w:hyperlink>
      <w:r>
        <w:t xml:space="preserve">,</w:t>
      </w:r>
      <w:r>
        <w:t xml:space="preserve"> </w:t>
      </w:r>
      <w:hyperlink w:anchor="fig-lolli">
        <w:r>
          <w:rPr>
            <w:rStyle w:val="Hyperlink"/>
          </w:rPr>
          <w:t xml:space="preserve">Figure 10</w:t>
        </w:r>
      </w:hyperlink>
      <w:r>
        <w:t xml:space="preserve">), pathways that are central to regulating</w:t>
      </w:r>
      <w:r>
        <w:t xml:space="preserve"> </w:t>
      </w:r>
      <w:r>
        <w:t xml:space="preserve">developmental progression.</w:t>
      </w:r>
    </w:p>
    <w:p>
      <w:pPr>
        <w:pStyle w:val="BodyText"/>
      </w:pPr>
      <w:r>
        <w:t xml:space="preserve">Ramakrishnan and Wayne (2008)</w:t>
      </w:r>
      <w:r>
        <w:t xml:space="preserve"> </w:t>
      </w:r>
      <w:r>
        <w:t xml:space="preserve">demonstrated that low-dose bisphenol A (BPA)</w:t>
      </w:r>
      <w:r>
        <w:t xml:space="preserve"> </w:t>
      </w:r>
      <w:r>
        <w:t xml:space="preserve">exposure accelerated embryonic development, advanced hatching, and</w:t>
      </w:r>
      <w:r>
        <w:t xml:space="preserve"> </w:t>
      </w:r>
      <w:r>
        <w:t xml:space="preserve">accelerated reproductive maturation in medaka (</w:t>
      </w:r>
      <w:r>
        <w:rPr>
          <w:i/>
          <w:iCs/>
        </w:rPr>
        <w:t xml:space="preserve">Oryzias latipes</w:t>
      </w:r>
      <w:r>
        <w:t xml:space="preserve">), with</w:t>
      </w:r>
      <w:r>
        <w:t xml:space="preserve"> </w:t>
      </w:r>
      <w:r>
        <w:t xml:space="preserve">these effects mediated through thyroid hormone signaling pathways rather</w:t>
      </w:r>
      <w:r>
        <w:t xml:space="preserve"> </w:t>
      </w:r>
      <w:r>
        <w:t xml:space="preserve">than classical estrogenic signaling. Similarly,</w:t>
      </w:r>
      <w:r>
        <w:t xml:space="preserve"> </w:t>
      </w:r>
      <w:r>
        <w:t xml:space="preserve">Anselmo et al. (2011)</w:t>
      </w:r>
      <w:r>
        <w:t xml:space="preserve"> </w:t>
      </w:r>
      <w:r>
        <w:t xml:space="preserve">reported</w:t>
      </w:r>
      <w:r>
        <w:t xml:space="preserve"> </w:t>
      </w:r>
      <w:r>
        <w:t xml:space="preserve">that triphenyltin (TPT) and dibutyltin (DBT), two endocrine-disrupting</w:t>
      </w:r>
      <w:r>
        <w:t xml:space="preserve"> </w:t>
      </w:r>
      <w:r>
        <w:t xml:space="preserve">chemicals commonly added to PVC products, accelerated metamorphosis in</w:t>
      </w:r>
      <w:r>
        <w:t xml:space="preserve"> </w:t>
      </w:r>
      <w:r>
        <w:t xml:space="preserve">the sea urchin</w:t>
      </w:r>
      <w:r>
        <w:t xml:space="preserve"> </w:t>
      </w:r>
      <w:r>
        <w:rPr>
          <w:i/>
          <w:iCs/>
        </w:rPr>
        <w:t xml:space="preserve">Psammechinus miliaris</w:t>
      </w:r>
      <w:r>
        <w:t xml:space="preserve">. Together, these studies suggest</w:t>
      </w:r>
      <w:r>
        <w:t xml:space="preserve"> </w:t>
      </w:r>
      <w:r>
        <w:t xml:space="preserve">that plastic-associated endocrine-disrupting compounds can accelerate or</w:t>
      </w:r>
      <w:r>
        <w:t xml:space="preserve"> </w:t>
      </w:r>
      <w:r>
        <w:t xml:space="preserve">influence developmental timing by interfering with signaling pathways</w:t>
      </w:r>
      <w:r>
        <w:t xml:space="preserve"> </w:t>
      </w:r>
      <w:r>
        <w:t xml:space="preserve">that regulate growth and differentiation.</w:t>
      </w:r>
    </w:p>
    <w:p>
      <w:pPr>
        <w:pStyle w:val="BodyText"/>
      </w:pPr>
      <w:r>
        <w:t xml:space="preserve">An alternative explanation is that low and moderate levels of PVC</w:t>
      </w:r>
      <w:r>
        <w:t xml:space="preserve"> </w:t>
      </w:r>
      <w:r>
        <w:t xml:space="preserve">leachate exposure selectively favored embryos that were already</w:t>
      </w:r>
      <w:r>
        <w:t xml:space="preserve"> </w:t>
      </w:r>
      <w:r>
        <w:t xml:space="preserve">developing more rapidly, resulting in an apparent shift in developmental</w:t>
      </w:r>
      <w:r>
        <w:t xml:space="preserve"> </w:t>
      </w:r>
      <w:r>
        <w:t xml:space="preserve">progression rather than a true acceleration of development at the</w:t>
      </w:r>
      <w:r>
        <w:t xml:space="preserve"> </w:t>
      </w:r>
      <w:r>
        <w:t xml:space="preserve">individual level. Distinguishing between true developmental acceleration</w:t>
      </w:r>
      <w:r>
        <w:t xml:space="preserve"> </w:t>
      </w:r>
      <w:r>
        <w:t xml:space="preserve">and selective survival would require longitudinal tracking of individual</w:t>
      </w:r>
      <w:r>
        <w:t xml:space="preserve"> </w:t>
      </w:r>
      <w:r>
        <w:t xml:space="preserve">embryos and larvae.</w:t>
      </w:r>
    </w:p>
    <w:p>
      <w:pPr>
        <w:pStyle w:val="BodyText"/>
      </w:pPr>
      <w:r>
        <w:t xml:space="preserve">Notably, most previous studies examining plastic leachate effects on</w:t>
      </w:r>
      <w:r>
        <w:t xml:space="preserve"> </w:t>
      </w:r>
      <w:r>
        <w:t xml:space="preserve">marine invertebrates have reported developmental disruption, arrest, or</w:t>
      </w:r>
      <w:r>
        <w:t xml:space="preserve"> </w:t>
      </w:r>
      <w:r>
        <w:t xml:space="preserve">delay rather than</w:t>
      </w:r>
      <w:r>
        <w:t xml:space="preserve"> </w:t>
      </w:r>
      <w:r>
        <w:rPr>
          <w:i/>
          <w:iCs/>
        </w:rPr>
        <w:t xml:space="preserve">accelerated</w:t>
      </w:r>
      <w:r>
        <w:t xml:space="preserve"> </w:t>
      </w:r>
      <w:r>
        <w:t xml:space="preserve">development. For example,</w:t>
      </w:r>
      <w:r>
        <w:t xml:space="preserve"> </w:t>
      </w:r>
      <w:r>
        <w:t xml:space="preserve">Paganos et al. (2023)</w:t>
      </w:r>
      <w:r>
        <w:t xml:space="preserve"> </w:t>
      </w:r>
      <w:r>
        <w:t xml:space="preserve">documented severe embryotoxicity and morphological</w:t>
      </w:r>
      <w:r>
        <w:t xml:space="preserve"> </w:t>
      </w:r>
      <w:r>
        <w:t xml:space="preserve">abnormalities in</w:t>
      </w:r>
      <w:r>
        <w:t xml:space="preserve"> </w:t>
      </w:r>
      <w:r>
        <w:rPr>
          <w:i/>
          <w:iCs/>
        </w:rPr>
        <w:t xml:space="preserve">Strongylocentrotus purpuratus</w:t>
      </w:r>
      <w:r>
        <w:t xml:space="preserve"> </w:t>
      </w:r>
      <w:r>
        <w:t xml:space="preserve">embryos exposed to PVC</w:t>
      </w:r>
      <w:r>
        <w:t xml:space="preserve"> </w:t>
      </w:r>
      <w:r>
        <w:t xml:space="preserve">pellet leachate, with zinc identified as a primary driver of toxicity.</w:t>
      </w:r>
      <w:r>
        <w:t xml:space="preserve"> </w:t>
      </w:r>
      <w:r>
        <w:t xml:space="preserve">Similarly,</w:t>
      </w:r>
      <w:r>
        <w:t xml:space="preserve"> </w:t>
      </w:r>
      <w:r>
        <w:t xml:space="preserve">Jimenez-Guri et al. (2023)</w:t>
      </w:r>
      <w:r>
        <w:t xml:space="preserve"> </w:t>
      </w:r>
      <w:r>
        <w:t xml:space="preserve">reported concentration-dependent</w:t>
      </w:r>
      <w:r>
        <w:t xml:space="preserve"> </w:t>
      </w:r>
      <w:r>
        <w:t xml:space="preserve">disruption of axial formation, cell specification, and morphogenesis</w:t>
      </w:r>
      <w:r>
        <w:t xml:space="preserve"> </w:t>
      </w:r>
      <w:r>
        <w:t xml:space="preserve">across multiple animal phyla, including cnidarians. However, the</w:t>
      </w:r>
      <w:r>
        <w:t xml:space="preserve"> </w:t>
      </w:r>
      <w:r>
        <w:t xml:space="preserve">concentrations used in these studies were substantially higher than</w:t>
      </w:r>
      <w:r>
        <w:t xml:space="preserve"> </w:t>
      </w:r>
      <w:r>
        <w:t xml:space="preserve">those tested in our study. It is possible that high levels of PVC</w:t>
      </w:r>
      <w:r>
        <w:t xml:space="preserve"> </w:t>
      </w:r>
      <w:r>
        <w:t xml:space="preserve">leachate overwhelm subtle signaling-mediated effects on developmental</w:t>
      </w:r>
      <w:r>
        <w:t xml:space="preserve"> </w:t>
      </w:r>
      <w:r>
        <w:t xml:space="preserve">timing responses and instead produce more pronounced toxic responses.</w:t>
      </w:r>
    </w:p>
    <w:bookmarkEnd w:id="111"/>
    <w:bookmarkStart w:id="112" w:name="X7c8b0db9dbd173c7164afba36616bbf8438b382"/>
    <w:p>
      <w:pPr>
        <w:pStyle w:val="Heading3"/>
      </w:pPr>
      <w:r>
        <w:rPr>
          <w:i/>
          <w:iCs/>
        </w:rPr>
        <w:t xml:space="preserve">H</w:t>
      </w:r>
      <w:r>
        <w:rPr>
          <w:vertAlign w:val="subscript"/>
        </w:rPr>
        <w:t xml:space="preserve">2</w:t>
      </w:r>
      <w:r>
        <w:t xml:space="preserve">: PVC leachate impacted genes responsible for development, gene regulation, and cellular communication</w:t>
      </w:r>
    </w:p>
    <w:p>
      <w:pPr>
        <w:pStyle w:val="FirstParagraph"/>
      </w:pPr>
      <w:r>
        <w:t xml:space="preserve">Early coral embryogenesis is characterized by rapid cell division,</w:t>
      </w:r>
      <w:r>
        <w:t xml:space="preserve"> </w:t>
      </w:r>
      <w:r>
        <w:t xml:space="preserve">gastrulation, and extensive use of maternally provisioned resources</w:t>
      </w:r>
      <w:r>
        <w:t xml:space="preserve"> </w:t>
      </w:r>
      <w:r>
        <w:t xml:space="preserve">(Huffmyer et al. 2023; Chille et al. 2021)</w:t>
      </w:r>
      <w:r>
        <w:t xml:space="preserve">. Our results showed that</w:t>
      </w:r>
      <w:r>
        <w:t xml:space="preserve"> </w:t>
      </w:r>
      <w:r>
        <w:t xml:space="preserve">developmental stage explained substantially more transcriptomic</w:t>
      </w:r>
      <w:r>
        <w:t xml:space="preserve"> </w:t>
      </w:r>
      <w:r>
        <w:t xml:space="preserve">variation than PVC leachate exposure. Rather than causing broad</w:t>
      </w:r>
      <w:r>
        <w:t xml:space="preserve"> </w:t>
      </w:r>
      <w:r>
        <w:t xml:space="preserve">disruption of gene expression, PVC leachate induced comparatively subtle</w:t>
      </w:r>
      <w:r>
        <w:t xml:space="preserve"> </w:t>
      </w:r>
      <w:r>
        <w:t xml:space="preserve">molecular responses embedded within the larger signal of gene expression</w:t>
      </w:r>
      <w:r>
        <w:t xml:space="preserve"> </w:t>
      </w:r>
      <w:r>
        <w:t xml:space="preserve">across development. This pattern is consistent with developmental</w:t>
      </w:r>
      <w:r>
        <w:t xml:space="preserve"> </w:t>
      </w:r>
      <w:r>
        <w:t xml:space="preserve">canalization, or the idea that early embryos may be partially buffered</w:t>
      </w:r>
      <w:r>
        <w:t xml:space="preserve"> </w:t>
      </w:r>
      <w:r>
        <w:t xml:space="preserve">against environmental perturbations through maternal mRNA provisioning</w:t>
      </w:r>
      <w:r>
        <w:t xml:space="preserve"> </w:t>
      </w:r>
      <w:r>
        <w:t xml:space="preserve">(Chille et al. 2021; Chille et al. 2022)</w:t>
      </w:r>
      <w:r>
        <w:t xml:space="preserve">, allowing core developmental processes</w:t>
      </w:r>
      <w:r>
        <w:t xml:space="preserve"> </w:t>
      </w:r>
      <w:r>
        <w:t xml:space="preserve">to remain stable despite exposure to complex contaminants.</w:t>
      </w:r>
    </w:p>
    <w:p>
      <w:pPr>
        <w:pStyle w:val="BodyText"/>
      </w:pPr>
      <w:r>
        <w:t xml:space="preserve">Although overall gene expression remained largely unchanged, we</w:t>
      </w:r>
      <w:r>
        <w:t xml:space="preserve"> </w:t>
      </w:r>
      <w:r>
        <w:t xml:space="preserve">identified 130 leachate-responsive genes associated with cellular</w:t>
      </w:r>
      <w:r>
        <w:t xml:space="preserve"> </w:t>
      </w:r>
      <w:r>
        <w:t xml:space="preserve">signaling, transcriptional regulation, vesicle-mediated transport, lipid</w:t>
      </w:r>
      <w:r>
        <w:t xml:space="preserve"> </w:t>
      </w:r>
      <w:r>
        <w:t xml:space="preserve">metabolism, and mitotic cell cycle activity (</w:t>
      </w:r>
      <w:hyperlink w:anchor="fig-radar">
        <w:r>
          <w:rPr>
            <w:rStyle w:val="Hyperlink"/>
          </w:rPr>
          <w:t xml:space="preserve">Figure 9</w:t>
        </w:r>
      </w:hyperlink>
      <w:r>
        <w:t xml:space="preserve">), suggesting</w:t>
      </w:r>
      <w:r>
        <w:t xml:space="preserve"> </w:t>
      </w:r>
      <w:r>
        <w:t xml:space="preserve">that PVC leachate primarily affected regulatory and cellular maintenance</w:t>
      </w:r>
      <w:r>
        <w:t xml:space="preserve"> </w:t>
      </w:r>
      <w:r>
        <w:t xml:space="preserve">pathways rather than causing widespread developmental disruption. The</w:t>
      </w:r>
      <w:r>
        <w:t xml:space="preserve"> </w:t>
      </w:r>
      <w:r>
        <w:t xml:space="preserve">stage-specific nature of these responses further indicates that</w:t>
      </w:r>
      <w:r>
        <w:t xml:space="preserve"> </w:t>
      </w:r>
      <w:r>
        <w:t xml:space="preserve">sensitivity to leachate exposure changes across embryogenesis, likely</w:t>
      </w:r>
      <w:r>
        <w:t xml:space="preserve"> </w:t>
      </w:r>
      <w:r>
        <w:t xml:space="preserve">reflecting differences in developmental state, energetic demand, or the</w:t>
      </w:r>
      <w:r>
        <w:t xml:space="preserve"> </w:t>
      </w:r>
      <w:r>
        <w:t xml:space="preserve">timing of key cellular transitions. For example, cleavage-stage</w:t>
      </w:r>
      <w:r>
        <w:t xml:space="preserve"> </w:t>
      </w:r>
      <w:r>
        <w:t xml:space="preserve">responses were associated with chromosomal and nuclear organization</w:t>
      </w:r>
      <w:r>
        <w:t xml:space="preserve"> </w:t>
      </w:r>
      <w:r>
        <w:t xml:space="preserve">(</w:t>
      </w:r>
      <w:hyperlink w:anchor="fig-lolli">
        <w:r>
          <w:rPr>
            <w:rStyle w:val="Hyperlink"/>
          </w:rPr>
          <w:t xml:space="preserve">Figure 10</w:t>
        </w:r>
      </w:hyperlink>
      <w:r>
        <w:t xml:space="preserve"> </w:t>
      </w:r>
      <w:r>
        <w:t xml:space="preserve">A), whereas later gastrulation-stage responses were more</w:t>
      </w:r>
      <w:r>
        <w:t xml:space="preserve"> </w:t>
      </w:r>
      <w:r>
        <w:t xml:space="preserve">strongly linked to cellular remodeling, signaling, and intracellular</w:t>
      </w:r>
      <w:r>
        <w:t xml:space="preserve"> </w:t>
      </w:r>
      <w:r>
        <w:t xml:space="preserve">transport (</w:t>
      </w:r>
      <w:hyperlink w:anchor="fig-lolli">
        <w:r>
          <w:rPr>
            <w:rStyle w:val="Hyperlink"/>
          </w:rPr>
          <w:t xml:space="preserve">Figure 10</w:t>
        </w:r>
      </w:hyperlink>
      <w:r>
        <w:t xml:space="preserve"> </w:t>
      </w:r>
      <w:r>
        <w:t xml:space="preserve">C).</w:t>
      </w:r>
    </w:p>
    <w:p>
      <w:pPr>
        <w:pStyle w:val="BodyText"/>
      </w:pPr>
      <w:r>
        <w:t xml:space="preserve">Among the leachate-responsive genes were several associated with G</w:t>
      </w:r>
      <w:r>
        <w:t xml:space="preserve"> </w:t>
      </w:r>
      <w:r>
        <w:t xml:space="preserve">protein-coupled receptor (GPCR) signaling and related developmental</w:t>
      </w:r>
      <w:r>
        <w:t xml:space="preserve"> </w:t>
      </w:r>
      <w:r>
        <w:t xml:space="preserve">signaling pathways.</w:t>
      </w:r>
      <w:r>
        <w:t xml:space="preserve"> </w:t>
      </w:r>
      <w:r>
        <w:t xml:space="preserve">(Morgan et al. 2022)</w:t>
      </w:r>
      <w:r>
        <w:t xml:space="preserve"> </w:t>
      </w:r>
      <w:r>
        <w:t xml:space="preserve">exposed the sea anemone</w:t>
      </w:r>
      <w:r>
        <w:t xml:space="preserve"> </w:t>
      </w:r>
      <w:r>
        <w:rPr>
          <w:i/>
          <w:iCs/>
        </w:rPr>
        <w:t xml:space="preserve">Exaiptasia</w:t>
      </w:r>
      <w:r>
        <w:rPr>
          <w:i/>
          <w:iCs/>
        </w:rPr>
        <w:t xml:space="preserve"> </w:t>
      </w:r>
      <w:r>
        <w:rPr>
          <w:i/>
          <w:iCs/>
        </w:rPr>
        <w:t xml:space="preserve">diaphana</w:t>
      </w:r>
      <w:r>
        <w:t xml:space="preserve"> </w:t>
      </w:r>
      <w:r>
        <w:t xml:space="preserve">to oxybenzone, a common sunscreen additive, and benzyl butyl</w:t>
      </w:r>
      <w:r>
        <w:t xml:space="preserve"> </w:t>
      </w:r>
      <w:r>
        <w:t xml:space="preserve">phthalate, a plasticizer, and found altered expression of candidate</w:t>
      </w:r>
      <w:r>
        <w:t xml:space="preserve"> </w:t>
      </w:r>
      <w:r>
        <w:t xml:space="preserve">endocrine-disruption biomarker genes associated with pathways involving</w:t>
      </w:r>
      <w:r>
        <w:t xml:space="preserve"> </w:t>
      </w:r>
      <w:r>
        <w:t xml:space="preserve">GPCRs. Their study focused on genes involved in steroid hormone</w:t>
      </w:r>
      <w:r>
        <w:t xml:space="preserve"> </w:t>
      </w:r>
      <w:r>
        <w:t xml:space="preserve">biosynthesis, cholesterol transport, immunity, phagocytosis, and</w:t>
      </w:r>
      <w:r>
        <w:t xml:space="preserve"> </w:t>
      </w:r>
      <w:r>
        <w:t xml:space="preserve">Hedgehog signaling, including Niemann-Pick C type 2 (NPC2), Cathepsin L</w:t>
      </w:r>
      <w:r>
        <w:t xml:space="preserve"> </w:t>
      </w:r>
      <w:r>
        <w:t xml:space="preserve">(CTSL), Smoothened (SMO), Desert Hedgehog (DHH), Zinc finger protein</w:t>
      </w:r>
      <w:r>
        <w:t xml:space="preserve"> </w:t>
      </w:r>
      <w:r>
        <w:t xml:space="preserve">GLI2 (GLI2), and Vitellogenin (VTG). Although none of the</w:t>
      </w:r>
      <w:r>
        <w:t xml:space="preserve"> </w:t>
      </w:r>
      <w:r>
        <w:t xml:space="preserve">leachate-responsive</w:t>
      </w:r>
      <w:r>
        <w:t xml:space="preserve"> </w:t>
      </w:r>
      <w:r>
        <w:rPr>
          <w:i/>
          <w:iCs/>
        </w:rPr>
        <w:t xml:space="preserve">Montipora capitata</w:t>
      </w:r>
      <w:r>
        <w:t xml:space="preserve"> </w:t>
      </w:r>
      <w:r>
        <w:t xml:space="preserve">transcripts mapped directly to</w:t>
      </w:r>
      <w:r>
        <w:t xml:space="preserve"> </w:t>
      </w:r>
      <w:r>
        <w:t xml:space="preserve">the candidate genes identified by</w:t>
      </w:r>
      <w:r>
        <w:t xml:space="preserve"> </w:t>
      </w:r>
      <w:r>
        <w:t xml:space="preserve">(Morgan et al. 2022)</w:t>
      </w:r>
      <w:r>
        <w:t xml:space="preserve">, several DEGs carried</w:t>
      </w:r>
      <w:r>
        <w:t xml:space="preserve"> </w:t>
      </w:r>
      <w:r>
        <w:t xml:space="preserve">functional annotations associated with similar signaling and regulatory</w:t>
      </w:r>
      <w:r>
        <w:t xml:space="preserve"> </w:t>
      </w:r>
      <w:r>
        <w:t xml:space="preserve">pathways, including GPCR-mediated signaling, steroid hormone-associated</w:t>
      </w:r>
      <w:r>
        <w:t xml:space="preserve"> </w:t>
      </w:r>
      <w:r>
        <w:t xml:space="preserve">signaling, and Wnt pathway regulation.</w:t>
      </w:r>
    </w:p>
    <w:p>
      <w:pPr>
        <w:pStyle w:val="BodyText"/>
      </w:pPr>
      <w:r>
        <w:t xml:space="preserve">To find these in our system, we filtered leachate-responsive DEGs for</w:t>
      </w:r>
      <w:r>
        <w:t xml:space="preserve"> </w:t>
      </w:r>
      <w:r>
        <w:t xml:space="preserve">gene ontology (GO) terms associated with GPCR and related signaling</w:t>
      </w:r>
      <w:r>
        <w:t xml:space="preserve"> </w:t>
      </w:r>
      <w:r>
        <w:t xml:space="preserve">processes, including “G protein”, “GPCR”, “signal transduction”,</w:t>
      </w:r>
      <w:r>
        <w:t xml:space="preserve"> </w:t>
      </w:r>
      <w:r>
        <w:t xml:space="preserve">“receptor”, “transmembrane signaling”, “second messenger”, “hedgehog”,</w:t>
      </w:r>
      <w:r>
        <w:t xml:space="preserve"> </w:t>
      </w:r>
      <w:r>
        <w:t xml:space="preserve">“adenylate cyclase”, “Wnt”, and “cell signaling”. This search identified</w:t>
      </w:r>
      <w:r>
        <w:t xml:space="preserve"> </w:t>
      </w:r>
      <w:r>
        <w:t xml:space="preserve">74 GO terms related to GPCR-associated signaling, including regulation</w:t>
      </w:r>
      <w:r>
        <w:t xml:space="preserve"> </w:t>
      </w:r>
      <w:r>
        <w:t xml:space="preserve">of G protein-coupled receptor signaling pathways, steroid hormone</w:t>
      </w:r>
      <w:r>
        <w:t xml:space="preserve"> </w:t>
      </w:r>
      <w:r>
        <w:t xml:space="preserve">receptor signaling pathways, nuclear receptor-mediated steroid hormone</w:t>
      </w:r>
      <w:r>
        <w:t xml:space="preserve"> </w:t>
      </w:r>
      <w:r>
        <w:t xml:space="preserve">signaling, and canonical Wnt signaling. These GO terms mapped to 32 of</w:t>
      </w:r>
      <w:r>
        <w:t xml:space="preserve"> </w:t>
      </w:r>
      <w:r>
        <w:t xml:space="preserve">the 130 leachate-responsive DEGs, including 6 genes associated with</w:t>
      </w:r>
      <w:r>
        <w:t xml:space="preserve"> </w:t>
      </w:r>
      <w:r>
        <w:t xml:space="preserve">cleavage-stage expression patterns, 8 associated with prawnchip-stage</w:t>
      </w:r>
      <w:r>
        <w:t xml:space="preserve"> </w:t>
      </w:r>
      <w:r>
        <w:t xml:space="preserve">patterns, and 16 associated with early gastrula-stage patterns.</w:t>
      </w:r>
    </w:p>
    <w:p>
      <w:pPr>
        <w:pStyle w:val="BodyText"/>
      </w:pPr>
      <w:r>
        <w:t xml:space="preserve">GPCR signaling pathways act like switches that pass signals inside the</w:t>
      </w:r>
      <w:r>
        <w:t xml:space="preserve"> </w:t>
      </w:r>
      <w:r>
        <w:t xml:space="preserve">cell. They function through membrane-bound receptors that detect</w:t>
      </w:r>
      <w:r>
        <w:t xml:space="preserve"> </w:t>
      </w:r>
      <w:r>
        <w:t xml:space="preserve">extracellular signals such as peptides, hormones, or environmental cues</w:t>
      </w:r>
      <w:r>
        <w:t xml:space="preserve"> </w:t>
      </w:r>
      <w:r>
        <w:t xml:space="preserve">and activate intracellular signaling cascades through G proteins and</w:t>
      </w:r>
      <w:r>
        <w:t xml:space="preserve"> </w:t>
      </w:r>
      <w:r>
        <w:t xml:space="preserve">second messengers such as cyclic AMP and calcium signaling. These</w:t>
      </w:r>
      <w:r>
        <w:t xml:space="preserve"> </w:t>
      </w:r>
      <w:r>
        <w:t xml:space="preserve">signaling pathways regulate downstream transcriptional programs involved</w:t>
      </w:r>
      <w:r>
        <w:t xml:space="preserve"> </w:t>
      </w:r>
      <w:r>
        <w:t xml:space="preserve">in cell differentiation, morphogenesis, developmental timing, and stress</w:t>
      </w:r>
      <w:r>
        <w:t xml:space="preserve"> </w:t>
      </w:r>
      <w:r>
        <w:t xml:space="preserve">responses</w:t>
      </w:r>
      <w:r>
        <w:t xml:space="preserve">(Grasso et al. 2008)</w:t>
      </w:r>
      <w:r>
        <w:t xml:space="preserve">. The presence of GO terms associated with Wnt</w:t>
      </w:r>
      <w:r>
        <w:t xml:space="preserve"> </w:t>
      </w:r>
      <w:r>
        <w:t xml:space="preserve">and Hedgehog signaling is particularly notable because these pathways</w:t>
      </w:r>
      <w:r>
        <w:t xml:space="preserve"> </w:t>
      </w:r>
      <w:r>
        <w:t xml:space="preserve">are highly conserved regulators of embryonic axis formation, tissue</w:t>
      </w:r>
      <w:r>
        <w:t xml:space="preserve"> </w:t>
      </w:r>
      <w:r>
        <w:t xml:space="preserve">patterning, and cell fate determination across metazoans.</w:t>
      </w:r>
    </w:p>
    <w:p>
      <w:pPr>
        <w:pStyle w:val="BodyText"/>
      </w:pPr>
      <w:r>
        <w:t xml:space="preserve">Corals and other cnidarians lack centralized endocrine organs found in</w:t>
      </w:r>
      <w:r>
        <w:t xml:space="preserve"> </w:t>
      </w:r>
      <w:r>
        <w:t xml:space="preserve">vertebrates, yet possess diverse peptide-mediated signaling systems that</w:t>
      </w:r>
      <w:r>
        <w:t xml:space="preserve"> </w:t>
      </w:r>
      <w:r>
        <w:t xml:space="preserve">may function in endocrine-like regulation</w:t>
      </w:r>
      <w:r>
        <w:t xml:space="preserve"> </w:t>
      </w:r>
      <w:r>
        <w:t xml:space="preserve">(Thiel et al. 2023; Twan et al. 2006)</w:t>
      </w:r>
      <w:r>
        <w:t xml:space="preserve">.</w:t>
      </w:r>
      <w:r>
        <w:t xml:space="preserve"> </w:t>
      </w:r>
      <w:r>
        <w:t xml:space="preserve">In cnidarians, neuropeptides and other extracellular signaling molecules</w:t>
      </w:r>
      <w:r>
        <w:t xml:space="preserve"> </w:t>
      </w:r>
      <w:r>
        <w:t xml:space="preserve">are thought to interact heavily with GPCR pathways to coordinate</w:t>
      </w:r>
      <w:r>
        <w:t xml:space="preserve"> </w:t>
      </w:r>
      <w:r>
        <w:t xml:space="preserve">developmental regulation, environmental sensing, metabolism, and larval</w:t>
      </w:r>
      <w:r>
        <w:t xml:space="preserve"> </w:t>
      </w:r>
      <w:r>
        <w:t xml:space="preserve">settlement</w:t>
      </w:r>
      <w:r>
        <w:t xml:space="preserve"> </w:t>
      </w:r>
      <w:r>
        <w:t xml:space="preserve">(Grasso et al. 2001; Hambleton et al. 2018)</w:t>
      </w:r>
      <w:r>
        <w:t xml:space="preserve">. Because GPCR pathways</w:t>
      </w:r>
      <w:r>
        <w:t xml:space="preserve"> </w:t>
      </w:r>
      <w:r>
        <w:t xml:space="preserve">can amplify subtle extracellular signals into large downstream</w:t>
      </w:r>
      <w:r>
        <w:t xml:space="preserve"> </w:t>
      </w:r>
      <w:r>
        <w:t xml:space="preserve">transcriptional responses through second messenger cascades</w:t>
      </w:r>
      <w:r>
        <w:t xml:space="preserve"> </w:t>
      </w:r>
      <w:r>
        <w:t xml:space="preserve">(Civciristov et al. 2018)</w:t>
      </w:r>
      <w:r>
        <w:t xml:space="preserve">, they may represent a plausible mechanism</w:t>
      </w:r>
      <w:r>
        <w:t xml:space="preserve"> </w:t>
      </w:r>
      <w:r>
        <w:t xml:space="preserve">underlying the low-dose and non-monotonic transcriptional responses we</w:t>
      </w:r>
      <w:r>
        <w:t xml:space="preserve"> </w:t>
      </w:r>
      <w:r>
        <w:t xml:space="preserve">observed in this study</w:t>
      </w:r>
      <w:r>
        <w:t xml:space="preserve">(Vandenberg et al. 2012)</w:t>
      </w:r>
      <w:r>
        <w:t xml:space="preserve">.</w:t>
      </w:r>
    </w:p>
    <w:p>
      <w:pPr>
        <w:pStyle w:val="BodyText"/>
      </w:pPr>
      <w:r>
        <w:t xml:space="preserve">Our findings suggest that plastic-derived chemicals may influence</w:t>
      </w:r>
      <w:r>
        <w:t xml:space="preserve"> </w:t>
      </w:r>
      <w:r>
        <w:t xml:space="preserve">developmental regulation in</w:t>
      </w:r>
      <w:r>
        <w:t xml:space="preserve"> </w:t>
      </w:r>
      <w:r>
        <w:rPr>
          <w:i/>
          <w:iCs/>
        </w:rPr>
        <w:t xml:space="preserve">Montipora capitata</w:t>
      </w:r>
      <w:r>
        <w:t xml:space="preserve">, potentially via</w:t>
      </w:r>
      <w:r>
        <w:t xml:space="preserve"> </w:t>
      </w:r>
      <w:r>
        <w:t xml:space="preserve">endocrine-like cellular signaling pathways. Although cnidarians do not</w:t>
      </w:r>
      <w:r>
        <w:t xml:space="preserve"> </w:t>
      </w:r>
      <w:r>
        <w:t xml:space="preserve">possess discrete endocrine organs comparable to those found in</w:t>
      </w:r>
      <w:r>
        <w:t xml:space="preserve"> </w:t>
      </w:r>
      <w:r>
        <w:t xml:space="preserve">vertebrates, several components of steroid signaling pathways have been</w:t>
      </w:r>
      <w:r>
        <w:t xml:space="preserve"> </w:t>
      </w:r>
      <w:r>
        <w:t xml:space="preserve">identified in corals and other anthozoans</w:t>
      </w:r>
      <w:r>
        <w:t xml:space="preserve"> </w:t>
      </w:r>
      <w:r>
        <w:t xml:space="preserve">(Tarrant 2005; Tarrant 2007)</w:t>
      </w:r>
      <w:r>
        <w:t xml:space="preserve">. In vertebrates, reproductive development and</w:t>
      </w:r>
      <w:r>
        <w:t xml:space="preserve"> </w:t>
      </w:r>
      <w:r>
        <w:t xml:space="preserve">gametogenesis are coordinated through endocrine signaling networks in</w:t>
      </w:r>
      <w:r>
        <w:t xml:space="preserve"> </w:t>
      </w:r>
      <w:r>
        <w:t xml:space="preserve">which hormones bind receptor proteins that regulate downstream gene</w:t>
      </w:r>
      <w:r>
        <w:t xml:space="preserve"> </w:t>
      </w:r>
      <w:r>
        <w:t xml:space="preserve">transcription, and disruption of these pathways by exogenous chemicals</w:t>
      </w:r>
      <w:r>
        <w:t xml:space="preserve"> </w:t>
      </w:r>
      <w:r>
        <w:t xml:space="preserve">can alter developmental timing and physiology</w:t>
      </w:r>
      <w:r>
        <w:t xml:space="preserve"> </w:t>
      </w:r>
      <w:r>
        <w:t xml:space="preserve">(McLachlan 2001)</w:t>
      </w:r>
      <w:r>
        <w:t xml:space="preserve">.</w:t>
      </w:r>
      <w:r>
        <w:t xml:space="preserve"> </w:t>
      </w:r>
      <w:r>
        <w:t xml:space="preserve">Comparable endocrine-like signaling mechanisms may also occur in corals.</w:t>
      </w:r>
      <w:r>
        <w:t xml:space="preserve"> </w:t>
      </w:r>
      <w:r>
        <w:t xml:space="preserve">Steroid hormones including estradiol and estrone have been detected in</w:t>
      </w:r>
      <w:r>
        <w:t xml:space="preserve"> </w:t>
      </w:r>
      <w:r>
        <w:t xml:space="preserve">scleractinian coral tissues, including</w:t>
      </w:r>
      <w:r>
        <w:t xml:space="preserve"> </w:t>
      </w:r>
      <w:r>
        <w:rPr>
          <w:i/>
          <w:iCs/>
        </w:rPr>
        <w:t xml:space="preserve">Montipora capitata</w:t>
      </w:r>
      <w:r>
        <w:t xml:space="preserve"> </w:t>
      </w:r>
      <w:r>
        <w:t xml:space="preserve">(Tarrant et al. 1999)</w:t>
      </w:r>
      <w:r>
        <w:t xml:space="preserve">, and concentrations of these compounds fluctuate</w:t>
      </w:r>
      <w:r>
        <w:t xml:space="preserve"> </w:t>
      </w:r>
      <w:r>
        <w:t xml:space="preserve">seasonally prior to spawning events</w:t>
      </w:r>
      <w:r>
        <w:t xml:space="preserve"> </w:t>
      </w:r>
      <w:r>
        <w:t xml:space="preserve">(Slattery et al. 1999; Atkinson and Atkinson 1992; Twan et al. 2006)</w:t>
      </w:r>
      <w:r>
        <w:t xml:space="preserve">, suggesting that steroid-associated signaling may play a</w:t>
      </w:r>
      <w:r>
        <w:t xml:space="preserve"> </w:t>
      </w:r>
      <w:r>
        <w:t xml:space="preserve">role in coordinating reproductive or developmental processes. In</w:t>
      </w:r>
      <w:r>
        <w:t xml:space="preserve"> </w:t>
      </w:r>
      <w:r>
        <w:t xml:space="preserve">addition, both hard and soft corals are capable of steroid metabolism</w:t>
      </w:r>
      <w:r>
        <w:t xml:space="preserve"> </w:t>
      </w:r>
      <w:r>
        <w:t xml:space="preserve">(Tarrant et al. 2003)</w:t>
      </w:r>
      <w:r>
        <w:t xml:space="preserve">, further supporting the presence of</w:t>
      </w:r>
      <w:r>
        <w:t xml:space="preserve"> </w:t>
      </w:r>
      <w:r>
        <w:t xml:space="preserve">hormonally-responsive biochemical pathways in cnidarians</w:t>
      </w:r>
      <w:r>
        <w:t xml:space="preserve"> </w:t>
      </w:r>
      <w:r>
        <w:t xml:space="preserve">(Tarrant 2005)</w:t>
      </w:r>
      <w:r>
        <w:t xml:space="preserve">.</w:t>
      </w:r>
    </w:p>
    <w:p>
      <w:pPr>
        <w:pStyle w:val="BodyText"/>
      </w:pPr>
      <w:r>
        <w:t xml:space="preserve">The relatively targeted response we observed contrasts with previous</w:t>
      </w:r>
      <w:r>
        <w:t xml:space="preserve"> </w:t>
      </w:r>
      <w:r>
        <w:t xml:space="preserve">work showing broader transcriptional and developmental disruption</w:t>
      </w:r>
      <w:r>
        <w:t xml:space="preserve"> </w:t>
      </w:r>
      <w:r>
        <w:t xml:space="preserve">following PVC leachate exposure.</w:t>
      </w:r>
      <w:r>
        <w:t xml:space="preserve"> </w:t>
      </w:r>
      <w:r>
        <w:t xml:space="preserve">Paganos et al. (2023)</w:t>
      </w:r>
      <w:r>
        <w:t xml:space="preserve"> </w:t>
      </w:r>
      <w:r>
        <w:t xml:space="preserve">reported extensive</w:t>
      </w:r>
      <w:r>
        <w:t xml:space="preserve"> </w:t>
      </w:r>
      <w:r>
        <w:t xml:space="preserve">downregulation of developmental genes in embryos of the sea urchin</w:t>
      </w:r>
      <w:r>
        <w:t xml:space="preserve"> </w:t>
      </w:r>
      <w:r>
        <w:rPr>
          <w:i/>
          <w:iCs/>
        </w:rPr>
        <w:t xml:space="preserve">Strongylocentrotus purpuratus</w:t>
      </w:r>
      <w:r>
        <w:t xml:space="preserve"> </w:t>
      </w:r>
      <w:r>
        <w:t xml:space="preserve">exposed to PVC leachates, suggesting</w:t>
      </w:r>
      <w:r>
        <w:t xml:space="preserve"> </w:t>
      </w:r>
      <w:r>
        <w:t xml:space="preserve">impairment of normal developmental progression. Several factors may</w:t>
      </w:r>
      <w:r>
        <w:t xml:space="preserve"> </w:t>
      </w:r>
      <w:r>
        <w:t xml:space="preserve">explain the more limited responses we observed here, including</w:t>
      </w:r>
      <w:r>
        <w:t xml:space="preserve"> </w:t>
      </w:r>
      <w:r>
        <w:t xml:space="preserve">differences in leachate composition, exposure concentration, exposure</w:t>
      </w:r>
      <w:r>
        <w:t xml:space="preserve"> </w:t>
      </w:r>
      <w:r>
        <w:t xml:space="preserve">duration, or species-specific sensitivity. The absence of broad</w:t>
      </w:r>
      <w:r>
        <w:t xml:space="preserve"> </w:t>
      </w:r>
      <w:r>
        <w:t xml:space="preserve">transcriptional disruption in our study further suggests that the</w:t>
      </w:r>
      <w:r>
        <w:t xml:space="preserve"> </w:t>
      </w:r>
      <w:r>
        <w:t xml:space="preserve">environmentally relevant concentrations used here remained below</w:t>
      </w:r>
      <w:r>
        <w:t xml:space="preserve"> </w:t>
      </w:r>
      <w:r>
        <w:t xml:space="preserve">thresholds that cause acute developmental toxicity.</w:t>
      </w:r>
    </w:p>
    <w:p>
      <w:pPr>
        <w:pStyle w:val="BodyText"/>
      </w:pPr>
      <w:r>
        <w:t xml:space="preserve">Signaling pathways often respond most strongly within narrow</w:t>
      </w:r>
      <w:r>
        <w:t xml:space="preserve"> </w:t>
      </w:r>
      <w:r>
        <w:t xml:space="preserve">concentration ranges, while higher concentrations may lead to receptor</w:t>
      </w:r>
      <w:r>
        <w:t xml:space="preserve"> </w:t>
      </w:r>
      <w:r>
        <w:t xml:space="preserve">saturation, feedback inhibition, pathway desensitization, or suppression</w:t>
      </w:r>
      <w:r>
        <w:t xml:space="preserve"> </w:t>
      </w:r>
      <w:r>
        <w:t xml:space="preserve">of coordinated transcriptional activity. We observed low and moderate</w:t>
      </w:r>
      <w:r>
        <w:t xml:space="preserve"> </w:t>
      </w:r>
      <w:r>
        <w:t xml:space="preserve">PVC leachate levels elicited stronger transcriptional responses than the</w:t>
      </w:r>
      <w:r>
        <w:t xml:space="preserve"> </w:t>
      </w:r>
      <w:r>
        <w:t xml:space="preserve">highest level, consistent with non-monotonic stress responses observed</w:t>
      </w:r>
      <w:r>
        <w:t xml:space="preserve"> </w:t>
      </w:r>
      <w:r>
        <w:t xml:space="preserve">in other developmental systems.</w:t>
      </w:r>
    </w:p>
    <w:p>
      <w:pPr>
        <w:pStyle w:val="BodyText"/>
      </w:pPr>
      <w:r>
        <w:t xml:space="preserve">Similar patterns have been observed in other marine invertebrates. For</w:t>
      </w:r>
      <w:r>
        <w:t xml:space="preserve"> </w:t>
      </w:r>
      <w:r>
        <w:t xml:space="preserve">example,</w:t>
      </w:r>
      <w:r>
        <w:t xml:space="preserve"> </w:t>
      </w:r>
      <w:r>
        <w:t xml:space="preserve">Xu et al. (2021)</w:t>
      </w:r>
      <w:r>
        <w:t xml:space="preserve"> </w:t>
      </w:r>
      <w:r>
        <w:t xml:space="preserve">found that environmentally relevant concentrations</w:t>
      </w:r>
      <w:r>
        <w:t xml:space="preserve"> </w:t>
      </w:r>
      <w:r>
        <w:t xml:space="preserve">of Di(2-ethylhexyl) phthalate (DEHP), a common plasticizer added to PVC,</w:t>
      </w:r>
      <w:r>
        <w:t xml:space="preserve"> </w:t>
      </w:r>
      <w:r>
        <w:t xml:space="preserve">produced biphasic responses in antioxidant activity and energy</w:t>
      </w:r>
      <w:r>
        <w:t xml:space="preserve"> </w:t>
      </w:r>
      <w:r>
        <w:t xml:space="preserve">metabolism in</w:t>
      </w:r>
      <w:r>
        <w:t xml:space="preserve"> </w:t>
      </w:r>
      <w:r>
        <w:rPr>
          <w:i/>
          <w:iCs/>
        </w:rPr>
        <w:t xml:space="preserve">Mytilus galloprovincialis</w:t>
      </w:r>
      <w:r>
        <w:t xml:space="preserve">, including U-shaped and</w:t>
      </w:r>
      <w:r>
        <w:t xml:space="preserve"> </w:t>
      </w:r>
      <w:r>
        <w:t xml:space="preserve">inverted U-shaped dose-response relationships. Together, these findings</w:t>
      </w:r>
      <w:r>
        <w:t xml:space="preserve"> </w:t>
      </w:r>
      <w:r>
        <w:t xml:space="preserve">indicate that sublethal exposure of coral embryos to plastic leachate</w:t>
      </w:r>
      <w:r>
        <w:t xml:space="preserve"> </w:t>
      </w:r>
      <w:r>
        <w:t xml:space="preserve">can alter developmental signaling in a non-dose dependent manner, and</w:t>
      </w:r>
      <w:r>
        <w:t xml:space="preserve"> </w:t>
      </w:r>
      <w:r>
        <w:t xml:space="preserve">this mechanism may be mediated by G-protein coupled receptors.</w:t>
      </w:r>
    </w:p>
    <w:bookmarkEnd w:id="112"/>
    <w:bookmarkStart w:id="113" w:name="X75ee2dd5e2e5eed790ee1de17fedfbcb83a95c7"/>
    <w:p>
      <w:pPr>
        <w:pStyle w:val="Heading3"/>
      </w:pPr>
      <w:r>
        <w:rPr>
          <w:i/>
          <w:iCs/>
        </w:rPr>
        <w:t xml:space="preserve">H</w:t>
      </w:r>
      <w:r>
        <w:rPr>
          <w:i/>
          <w:iCs/>
          <w:vertAlign w:val="subscript"/>
        </w:rPr>
        <w:t xml:space="preserve">3</w:t>
      </w:r>
      <w:r>
        <w:t xml:space="preserve">: PVC leachate exposure produced targeted and non-linear shifts in a limited subset of bacterial taxa and may alter the functional potential of the embryonic coral microbiome</w:t>
      </w:r>
    </w:p>
    <w:p>
      <w:pPr>
        <w:pStyle w:val="FirstParagraph"/>
      </w:pPr>
      <w:r>
        <w:t xml:space="preserve">Corals are holobiont organisms that depend on dynamic interactions with</w:t>
      </w:r>
      <w:r>
        <w:t xml:space="preserve"> </w:t>
      </w:r>
      <w:r>
        <w:t xml:space="preserve">their associated microbial communities to support nutrient cycling,</w:t>
      </w:r>
      <w:r>
        <w:t xml:space="preserve"> </w:t>
      </w:r>
      <w:r>
        <w:t xml:space="preserve">immune defense, and host health. In our study, embryonic microbiome</w:t>
      </w:r>
      <w:r>
        <w:t xml:space="preserve"> </w:t>
      </w:r>
      <w:r>
        <w:t xml:space="preserve">composition was shaped by developmental progression rather than by PVC</w:t>
      </w:r>
      <w:r>
        <w:t xml:space="preserve"> </w:t>
      </w:r>
      <w:r>
        <w:t xml:space="preserve">leachate exposure, consistent with previous work showing that bacterial</w:t>
      </w:r>
      <w:r>
        <w:t xml:space="preserve"> </w:t>
      </w:r>
      <w:r>
        <w:t xml:space="preserve">communities in</w:t>
      </w:r>
      <w:r>
        <w:t xml:space="preserve"> </w:t>
      </w:r>
      <w:r>
        <w:rPr>
          <w:i/>
          <w:iCs/>
        </w:rPr>
        <w:t xml:space="preserve">Montipora capitata</w:t>
      </w:r>
      <w:r>
        <w:t xml:space="preserve"> </w:t>
      </w:r>
      <w:r>
        <w:t xml:space="preserve">shift during embryogenesis,</w:t>
      </w:r>
      <w:r>
        <w:t xml:space="preserve"> </w:t>
      </w:r>
      <w:r>
        <w:t xml:space="preserve">metamorphosis, and settlement</w:t>
      </w:r>
      <w:r>
        <w:t xml:space="preserve"> </w:t>
      </w:r>
      <w:r>
        <w:t xml:space="preserve">(Huffmyer et al. 2025; Bernasconi et al. 2019)</w:t>
      </w:r>
      <w:r>
        <w:t xml:space="preserve">.</w:t>
      </w:r>
    </w:p>
    <w:p>
      <w:pPr>
        <w:pStyle w:val="BodyText"/>
      </w:pPr>
      <w:r>
        <w:t xml:space="preserve">Coral embryo microbiome studies are still an emerging field, with</w:t>
      </w:r>
      <w:r>
        <w:t xml:space="preserve"> </w:t>
      </w:r>
      <w:r>
        <w:t xml:space="preserve">foundational work on early-life-stage coral microbiomes only beginning</w:t>
      </w:r>
      <w:r>
        <w:t xml:space="preserve"> </w:t>
      </w:r>
      <w:r>
        <w:t xml:space="preserve">in the 2010s</w:t>
      </w:r>
      <w:r>
        <w:t xml:space="preserve"> </w:t>
      </w:r>
      <w:r>
        <w:t xml:space="preserve">(Apprill et al. 2012)</w:t>
      </w:r>
      <w:r>
        <w:t xml:space="preserve">.</w:t>
      </w:r>
      <w:r>
        <w:t xml:space="preserve"> </w:t>
      </w:r>
      <w:r>
        <w:t xml:space="preserve">(Apprill et al. 2012)</w:t>
      </w:r>
      <w:r>
        <w:t xml:space="preserve"> </w:t>
      </w:r>
      <w:r>
        <w:t xml:space="preserve">were among the first</w:t>
      </w:r>
      <w:r>
        <w:t xml:space="preserve"> </w:t>
      </w:r>
      <w:r>
        <w:t xml:space="preserve">to characterize coral embryos (</w:t>
      </w:r>
      <w:r>
        <w:rPr>
          <w:i/>
          <w:iCs/>
        </w:rPr>
        <w:t xml:space="preserve">Pocillopora meandrina</w:t>
      </w:r>
      <w:r>
        <w:t xml:space="preserve">) bacterial</w:t>
      </w:r>
      <w:r>
        <w:t xml:space="preserve"> </w:t>
      </w:r>
      <w:r>
        <w:t xml:space="preserve">specificity during development. To our knowledge, our study appears to</w:t>
      </w:r>
      <w:r>
        <w:t xml:space="preserve"> </w:t>
      </w:r>
      <w:r>
        <w:t xml:space="preserve">be the first to characterize the microbiome of coral embryos exposed to</w:t>
      </w:r>
      <w:r>
        <w:t xml:space="preserve"> </w:t>
      </w:r>
      <w:r>
        <w:t xml:space="preserve">plasticizers.</w:t>
      </w:r>
    </w:p>
    <w:p>
      <w:pPr>
        <w:pStyle w:val="BodyText"/>
      </w:pPr>
      <w:r>
        <w:t xml:space="preserve">Although PVC leachate did not cause broad restructuring of the</w:t>
      </w:r>
      <w:r>
        <w:t xml:space="preserve"> </w:t>
      </w:r>
      <w:r>
        <w:t xml:space="preserve">embryo-associated microbiome, we found shifts in abundance and</w:t>
      </w:r>
      <w:r>
        <w:t xml:space="preserve"> </w:t>
      </w:r>
      <w:r>
        <w:t xml:space="preserve">prevalence of specific bacterial taxa in response to treatment. In</w:t>
      </w:r>
      <w:r>
        <w:t xml:space="preserve"> </w:t>
      </w:r>
      <w:r>
        <w:t xml:space="preserve">particular, the</w:t>
      </w:r>
      <w:r>
        <w:t xml:space="preserve"> </w:t>
      </w:r>
      <w:r>
        <w:rPr>
          <w:i/>
          <w:iCs/>
        </w:rPr>
        <w:t xml:space="preserve">Methylophaga</w:t>
      </w:r>
      <w:r>
        <w:t xml:space="preserve"> </w:t>
      </w:r>
      <w:r>
        <w:rPr>
          <w:i/>
          <w:iCs/>
        </w:rPr>
        <w:t xml:space="preserve">Marine Methylotrophic Group 3</w:t>
      </w:r>
      <w:r>
        <w:t xml:space="preserve"> </w:t>
      </w:r>
      <w:r>
        <w:t xml:space="preserve">increased</w:t>
      </w:r>
      <w:r>
        <w:t xml:space="preserve"> </w:t>
      </w:r>
      <w:r>
        <w:t xml:space="preserve">in abundance and prevalence models across all PVC leachate levels</w:t>
      </w:r>
      <w:r>
        <w:t xml:space="preserve"> </w:t>
      </w:r>
      <w:r>
        <w:t xml:space="preserve">compared to the FSW control. Studies of early coral microbiome</w:t>
      </w:r>
      <w:r>
        <w:t xml:space="preserve"> </w:t>
      </w:r>
      <w:r>
        <w:t xml:space="preserve">establishment consistently show that embryos and early larvae carry</w:t>
      </w:r>
      <w:r>
        <w:t xml:space="preserve"> </w:t>
      </w:r>
      <w:r>
        <w:t xml:space="preserve">highly dynamic, diverse, and largely transient bacterial communities</w:t>
      </w:r>
      <w:r>
        <w:t xml:space="preserve"> </w:t>
      </w:r>
      <w:r>
        <w:t xml:space="preserve">dominated by Proteobacteria. Endozoicomadaceae, Rhodobacteraceae, and</w:t>
      </w:r>
      <w:r>
        <w:t xml:space="preserve"> </w:t>
      </w:r>
      <w:r>
        <w:rPr>
          <w:i/>
          <w:iCs/>
        </w:rPr>
        <w:t xml:space="preserve">Methylophaga</w:t>
      </w:r>
      <w:r>
        <w:t xml:space="preserve"> </w:t>
      </w:r>
      <w:r>
        <w:t xml:space="preserve">(Bernasconi et al. 2019; Apprill et al. 2012)</w:t>
      </w:r>
      <w:r>
        <w:t xml:space="preserve">.</w:t>
      </w:r>
    </w:p>
    <w:p>
      <w:pPr>
        <w:pStyle w:val="BodyText"/>
      </w:pPr>
      <w:r>
        <w:rPr>
          <w:i/>
          <w:iCs/>
        </w:rPr>
        <w:t xml:space="preserve">Methylophaga</w:t>
      </w:r>
      <w:r>
        <w:t xml:space="preserve"> </w:t>
      </w:r>
      <w:r>
        <w:t xml:space="preserve">are important to coral physiology because they occupy a</w:t>
      </w:r>
      <w:r>
        <w:t xml:space="preserve"> </w:t>
      </w:r>
      <w:r>
        <w:t xml:space="preserve">specialized role in the coral sulfur cycle by consuming dimethylsulfide</w:t>
      </w:r>
      <w:r>
        <w:t xml:space="preserve"> </w:t>
      </w:r>
      <w:r>
        <w:t xml:space="preserve">(DMS), a major breakdown product of dimethylsulfoniopropionate (DMSP),</w:t>
      </w:r>
      <w:r>
        <w:t xml:space="preserve"> </w:t>
      </w:r>
      <w:r>
        <w:t xml:space="preserve">which is produced in large quantities by corals and their symbiotic</w:t>
      </w:r>
      <w:r>
        <w:t xml:space="preserve"> </w:t>
      </w:r>
      <w:r>
        <w:t xml:space="preserve">algae</w:t>
      </w:r>
      <w:r>
        <w:t xml:space="preserve"> </w:t>
      </w:r>
      <w:r>
        <w:t xml:space="preserve">(Raina et al. 2013, 2010)</w:t>
      </w:r>
      <w:r>
        <w:t xml:space="preserve">. DMSP and its downstream products</w:t>
      </w:r>
      <w:r>
        <w:t xml:space="preserve"> </w:t>
      </w:r>
      <w:r>
        <w:t xml:space="preserve">contribute to antioxidant defense, stress signaling, and antimicrobial</w:t>
      </w:r>
      <w:r>
        <w:t xml:space="preserve"> </w:t>
      </w:r>
      <w:r>
        <w:t xml:space="preserve">activity within the coral holobiont, making sulfur cycling central to</w:t>
      </w:r>
      <w:r>
        <w:t xml:space="preserve"> </w:t>
      </w:r>
      <w:r>
        <w:t xml:space="preserve">coral health and microbiome organization</w:t>
      </w:r>
      <w:r>
        <w:t xml:space="preserve"> </w:t>
      </w:r>
      <w:r>
        <w:t xml:space="preserve">(Deschaseaux et al. 2014; Jackson et al. 2020; Gardner et al. 2017; Aguilar et al. 2017)</w:t>
      </w:r>
      <w:r>
        <w:t xml:space="preserve">. Unlike common</w:t>
      </w:r>
      <w:r>
        <w:t xml:space="preserve"> </w:t>
      </w:r>
      <w:r>
        <w:t xml:space="preserve">coral-associated bacteria,</w:t>
      </w:r>
      <w:r>
        <w:t xml:space="preserve"> </w:t>
      </w:r>
      <w:r>
        <w:rPr>
          <w:i/>
          <w:iCs/>
        </w:rPr>
        <w:t xml:space="preserve">Methylophaga</w:t>
      </w:r>
      <w:r>
        <w:t xml:space="preserve"> </w:t>
      </w:r>
      <w:r>
        <w:t xml:space="preserve">are obligate marine</w:t>
      </w:r>
      <w:r>
        <w:t xml:space="preserve"> </w:t>
      </w:r>
      <w:r>
        <w:t xml:space="preserve">methylotrophs that specialize in using DMS and other one-carbon</w:t>
      </w:r>
      <w:r>
        <w:t xml:space="preserve"> </w:t>
      </w:r>
      <w:r>
        <w:t xml:space="preserve">compounds as energy sources, effectively acting as a sink for</w:t>
      </w:r>
      <w:r>
        <w:t xml:space="preserve"> </w:t>
      </w:r>
      <w:r>
        <w:t xml:space="preserve">sulfur-derived metabolites</w:t>
      </w:r>
      <w:r>
        <w:t xml:space="preserve"> </w:t>
      </w:r>
      <w:r>
        <w:t xml:space="preserve">(Kim et al. 2007; Kröber and Schäfer 2019; Janvier and Grimont 1995; Neufeld et al. 2007)</w:t>
      </w:r>
      <w:r>
        <w:t xml:space="preserve">. Their enrichment under PVC leachate</w:t>
      </w:r>
      <w:r>
        <w:t xml:space="preserve"> </w:t>
      </w:r>
      <w:r>
        <w:t xml:space="preserve">exposure therefore suggests either direct utilization of plastic-derived</w:t>
      </w:r>
      <w:r>
        <w:t xml:space="preserve"> </w:t>
      </w:r>
      <w:r>
        <w:t xml:space="preserve">methylated compounds or disruption of normal coral sulfur metabolism</w:t>
      </w:r>
      <w:r>
        <w:t xml:space="preserve"> </w:t>
      </w:r>
      <w:r>
        <w:t xml:space="preserve">that alters DMSP/DMS release patterns. Whichever mechanism is operating,</w:t>
      </w:r>
      <w:r>
        <w:t xml:space="preserve"> </w:t>
      </w:r>
      <w:r>
        <w:t xml:space="preserve">the functional implication for coral physiology is similar: a bloom of</w:t>
      </w:r>
      <w:r>
        <w:t xml:space="preserve"> </w:t>
      </w:r>
      <w:r>
        <w:rPr>
          <w:i/>
          <w:iCs/>
        </w:rPr>
        <w:t xml:space="preserve">Methylophaga</w:t>
      </w:r>
      <w:r>
        <w:t xml:space="preserve"> </w:t>
      </w:r>
      <w:r>
        <w:t xml:space="preserve">in or around coral embryos would accelerate the</w:t>
      </w:r>
      <w:r>
        <w:t xml:space="preserve"> </w:t>
      </w:r>
      <w:r>
        <w:t xml:space="preserve">consumption of DMS (and possibly methanethiol) in the embryo’s immediate</w:t>
      </w:r>
      <w:r>
        <w:t xml:space="preserve"> </w:t>
      </w:r>
      <w:r>
        <w:t xml:space="preserve">chemical environment. Because DMS itself has antioxidant properties and</w:t>
      </w:r>
      <w:r>
        <w:t xml:space="preserve"> </w:t>
      </w:r>
      <w:r>
        <w:t xml:space="preserve">is part of the broader stress-response chemistry of corals, removal of</w:t>
      </w:r>
      <w:r>
        <w:t xml:space="preserve"> </w:t>
      </w:r>
      <w:r>
        <w:t xml:space="preserve">DMS by a methylotrophic bloom could deplete a potential chemical defense</w:t>
      </w:r>
      <w:r>
        <w:t xml:space="preserve"> </w:t>
      </w:r>
      <w:r>
        <w:t xml:space="preserve">in coral embryos. DMS is also an important atmospheric compound for</w:t>
      </w:r>
      <w:r>
        <w:t xml:space="preserve"> </w:t>
      </w:r>
      <w:r>
        <w:t xml:space="preserve">cloud condensation nuclei implicated in localized cooling, and it’s</w:t>
      </w:r>
      <w:r>
        <w:t xml:space="preserve"> </w:t>
      </w:r>
      <w:r>
        <w:t xml:space="preserve">cycling - entirely mediated by bacteria - impacts regional weather</w:t>
      </w:r>
      <w:r>
        <w:t xml:space="preserve"> </w:t>
      </w:r>
      <w:r>
        <w:t xml:space="preserve">(Reisch et al. 2011; Fischer and Jones 2012)</w:t>
      </w:r>
      <w:r>
        <w:t xml:space="preserve">.</w:t>
      </w:r>
    </w:p>
    <w:p>
      <w:pPr>
        <w:pStyle w:val="BodyText"/>
      </w:pPr>
      <w:r>
        <w:t xml:space="preserve">Predicted functional profiling of these responsive taxa further</w:t>
      </w:r>
      <w:r>
        <w:t xml:space="preserve"> </w:t>
      </w:r>
      <w:r>
        <w:t xml:space="preserve">indicated that PVC leachate exposure may selectively favor microbes with</w:t>
      </w:r>
      <w:r>
        <w:t xml:space="preserve"> </w:t>
      </w:r>
      <w:r>
        <w:t xml:space="preserve">traits related to methanogenesis and the catabolism of aromatic</w:t>
      </w:r>
      <w:r>
        <w:t xml:space="preserve"> </w:t>
      </w:r>
      <w:r>
        <w:t xml:space="preserve">hydrocarbons and chlorinated compounds. These functional shifts are</w:t>
      </w:r>
      <w:r>
        <w:t xml:space="preserve"> </w:t>
      </w:r>
      <w:r>
        <w:t xml:space="preserve">consistent with the chemical composition of PVC leachate, which contains</w:t>
      </w:r>
      <w:r>
        <w:t xml:space="preserve"> </w:t>
      </w:r>
      <w:r>
        <w:t xml:space="preserve">complex dissolved organic carbon mixtures including plasticizers,</w:t>
      </w:r>
      <w:r>
        <w:t xml:space="preserve"> </w:t>
      </w:r>
      <w:r>
        <w:t xml:space="preserve">aromatic compounds, and chlorinated constituents that can serve as</w:t>
      </w:r>
      <w:r>
        <w:t xml:space="preserve"> </w:t>
      </w:r>
      <w:r>
        <w:t xml:space="preserve">substrates for specialized marine heterotrophs. Similar</w:t>
      </w:r>
      <w:r>
        <w:t xml:space="preserve"> </w:t>
      </w:r>
      <w:r>
        <w:t xml:space="preserve">stress-associated metabolic restructuring has been observed in</w:t>
      </w:r>
      <w:r>
        <w:t xml:space="preserve"> </w:t>
      </w:r>
      <w:r>
        <w:t xml:space="preserve">experimentally disturbed coral microbiomes, where environmental</w:t>
      </w:r>
      <w:r>
        <w:t xml:space="preserve"> </w:t>
      </w:r>
      <w:r>
        <w:t xml:space="preserve">stressors altered microbial metabolism toward increased sulfur and</w:t>
      </w:r>
      <w:r>
        <w:t xml:space="preserve"> </w:t>
      </w:r>
      <w:r>
        <w:t xml:space="preserve">nitrogen cycling, virulence, and secondary metabolism</w:t>
      </w:r>
      <w:r>
        <w:t xml:space="preserve"> </w:t>
      </w:r>
      <w:r>
        <w:t xml:space="preserve">(Vega Thurber et al. 2009)</w:t>
      </w:r>
      <w:r>
        <w:t xml:space="preserve">. In this context, the enrichment of</w:t>
      </w:r>
      <w:r>
        <w:t xml:space="preserve"> </w:t>
      </w:r>
      <w:r>
        <w:t xml:space="preserve">methanogenesis-associated pathways may reflect a dysbiotic microbial</w:t>
      </w:r>
      <w:r>
        <w:t xml:space="preserve"> </w:t>
      </w:r>
      <w:r>
        <w:t xml:space="preserve">response to chemical stress rather than a stable component of the</w:t>
      </w:r>
      <w:r>
        <w:t xml:space="preserve"> </w:t>
      </w:r>
      <w:r>
        <w:t xml:space="preserve">healthy embryo microbiome, supporting the broader concept that</w:t>
      </w:r>
      <w:r>
        <w:t xml:space="preserve"> </w:t>
      </w:r>
      <w:r>
        <w:t xml:space="preserve">relatively small shifts in microbial community composition can</w:t>
      </w:r>
      <w:r>
        <w:t xml:space="preserve"> </w:t>
      </w:r>
      <w:r>
        <w:t xml:space="preserve">substantially alter coral holobiont function</w:t>
      </w:r>
      <w:r>
        <w:t xml:space="preserve"> </w:t>
      </w:r>
      <w:r>
        <w:t xml:space="preserve">(Vega Thurber et al. 2009)</w:t>
      </w:r>
      <w:r>
        <w:t xml:space="preserve">.</w:t>
      </w:r>
    </w:p>
    <w:p>
      <w:pPr>
        <w:pStyle w:val="BodyText"/>
      </w:pPr>
      <w:r>
        <w:t xml:space="preserve">The enrichment of pathways related to aromatic hydrocarbon and</w:t>
      </w:r>
      <w:r>
        <w:t xml:space="preserve"> </w:t>
      </w:r>
      <w:r>
        <w:t xml:space="preserve">chlorinated compound degradation is likewise biologically plausible</w:t>
      </w:r>
      <w:r>
        <w:t xml:space="preserve"> </w:t>
      </w:r>
      <w:r>
        <w:t xml:space="preserve">under PVC exposure. Corals living near natural hydrocarbon seeps harbor</w:t>
      </w:r>
      <w:r>
        <w:t xml:space="preserve"> </w:t>
      </w:r>
      <w:r>
        <w:t xml:space="preserve">microbial communities enriched in hydrocarbon-degrading</w:t>
      </w:r>
      <w:r>
        <w:t xml:space="preserve"> </w:t>
      </w:r>
      <w:r>
        <w:t xml:space="preserve">Gammaproteobacteria, Actinobacteria, and Firmicutes capable of</w:t>
      </w:r>
      <w:r>
        <w:t xml:space="preserve"> </w:t>
      </w:r>
      <w:r>
        <w:t xml:space="preserve">metabolizing compounds such as phenanthrene, biphenyl, and naphthalene,</w:t>
      </w:r>
      <w:r>
        <w:t xml:space="preserve"> </w:t>
      </w:r>
      <w:r>
        <w:t xml:space="preserve">with degradative capacity increasing alongside contaminant exposure</w:t>
      </w:r>
      <w:r>
        <w:t xml:space="preserve"> </w:t>
      </w:r>
      <w:r>
        <w:t xml:space="preserve">(Al-Dahash and Mahmoud 2013)</w:t>
      </w:r>
      <w:r>
        <w:t xml:space="preserve">. Similarly, coral-associated hydrocarbon-degrading</w:t>
      </w:r>
      <w:r>
        <w:t xml:space="preserve"> </w:t>
      </w:r>
      <w:r>
        <w:t xml:space="preserve">bacteria possess genes involved not only in aromatic and alkane</w:t>
      </w:r>
      <w:r>
        <w:t xml:space="preserve"> </w:t>
      </w:r>
      <w:r>
        <w:t xml:space="preserve">degradation, but also DMSP metabolism, nitrogen cycling, cobalamin</w:t>
      </w:r>
      <w:r>
        <w:t xml:space="preserve"> </w:t>
      </w:r>
      <w:r>
        <w:t xml:space="preserve">biosynthesis, and antimicrobial compound production, indicating that</w:t>
      </w:r>
      <w:r>
        <w:t xml:space="preserve"> </w:t>
      </w:r>
      <w:r>
        <w:t xml:space="preserve">these microbes can simultaneously participate in xenobiotic degradation</w:t>
      </w:r>
      <w:r>
        <w:t xml:space="preserve"> </w:t>
      </w:r>
      <w:r>
        <w:t xml:space="preserve">and holobiont-associated functions</w:t>
      </w:r>
      <w:r>
        <w:t xml:space="preserve"> </w:t>
      </w:r>
      <w:r>
        <w:t xml:space="preserve">(Villela et al. 2023)</w:t>
      </w:r>
      <w:r>
        <w:t xml:space="preserve">. Because marine</w:t>
      </w:r>
      <w:r>
        <w:t xml:space="preserve"> </w:t>
      </w:r>
      <w:r>
        <w:t xml:space="preserve">organisms naturally produce halogenated organic compounds,</w:t>
      </w:r>
      <w:r>
        <w:t xml:space="preserve"> </w:t>
      </w:r>
      <w:r>
        <w:t xml:space="preserve">reef-associated bacteria also commonly encode dehalogenation pathways</w:t>
      </w:r>
      <w:r>
        <w:t xml:space="preserve"> </w:t>
      </w:r>
      <w:r>
        <w:t xml:space="preserve">that participate in the natural marine chlorine cycle</w:t>
      </w:r>
      <w:r>
        <w:t xml:space="preserve"> </w:t>
      </w:r>
      <w:r>
        <w:t xml:space="preserve">(Atashgahi et al. 2018)</w:t>
      </w:r>
      <w:r>
        <w:t xml:space="preserve">. However, under PVC leachate exposure, enrichment of</w:t>
      </w:r>
      <w:r>
        <w:t xml:space="preserve"> </w:t>
      </w:r>
      <w:r>
        <w:t xml:space="preserve">these pathways likely reflects microbial selection for taxa capable of</w:t>
      </w:r>
      <w:r>
        <w:t xml:space="preserve"> </w:t>
      </w:r>
      <w:r>
        <w:t xml:space="preserve">tolerating or metabolizing plastic-derived aromatic and chlorinated</w:t>
      </w:r>
      <w:r>
        <w:t xml:space="preserve"> </w:t>
      </w:r>
      <w:r>
        <w:t xml:space="preserve">compounds.</w:t>
      </w:r>
    </w:p>
    <w:p>
      <w:pPr>
        <w:pStyle w:val="BodyText"/>
      </w:pPr>
      <w:r>
        <w:t xml:space="preserve">These functional predictions should nevertheless be interpreted</w:t>
      </w:r>
      <w:r>
        <w:t xml:space="preserve"> </w:t>
      </w:r>
      <w:r>
        <w:t xml:space="preserve">cautiously, as PICRUSt-based inference from 16S rRNA data depends</w:t>
      </w:r>
      <w:r>
        <w:t xml:space="preserve"> </w:t>
      </w:r>
      <w:r>
        <w:t xml:space="preserve">strongly on reference genome representation, which remains limited for</w:t>
      </w:r>
      <w:r>
        <w:t xml:space="preserve"> </w:t>
      </w:r>
      <w:r>
        <w:t xml:space="preserve">many coral-associated marine microbes. While these traits were inferred</w:t>
      </w:r>
      <w:r>
        <w:t xml:space="preserve"> </w:t>
      </w:r>
      <w:r>
        <w:t xml:space="preserve">from amplicon sequence variant (ASV) phylogenetic placement rather than</w:t>
      </w:r>
      <w:r>
        <w:t xml:space="preserve"> </w:t>
      </w:r>
      <w:r>
        <w:t xml:space="preserve">direct metagenomic or proteomic measurements</w:t>
      </w:r>
      <w:r>
        <w:t xml:space="preserve"> </w:t>
      </w:r>
      <w:r>
        <w:t xml:space="preserve">(Douglas et al. 2020)</w:t>
      </w:r>
      <w:r>
        <w:t xml:space="preserve">, the</w:t>
      </w:r>
      <w:r>
        <w:t xml:space="preserve"> </w:t>
      </w:r>
      <w:r>
        <w:t xml:space="preserve">results suggest that PVC leachate pollution may influence not only which</w:t>
      </w:r>
      <w:r>
        <w:t xml:space="preserve"> </w:t>
      </w:r>
      <w:r>
        <w:t xml:space="preserve">microbes associate with developing coral embryos, but also the broader</w:t>
      </w:r>
      <w:r>
        <w:t xml:space="preserve"> </w:t>
      </w:r>
      <w:r>
        <w:t xml:space="preserve">metabolic potential of the embryo-associated microbiome.</w:t>
      </w:r>
    </w:p>
    <w:p>
      <w:pPr>
        <w:pStyle w:val="BodyText"/>
      </w:pPr>
      <w:r>
        <w:t xml:space="preserve">These findings are broadly compatible with previous marine microbiome</w:t>
      </w:r>
      <w:r>
        <w:t xml:space="preserve"> </w:t>
      </w:r>
      <w:r>
        <w:t xml:space="preserve">studies examining PVC leachate exposure in seawater.</w:t>
      </w:r>
      <w:r>
        <w:t xml:space="preserve"> </w:t>
      </w:r>
      <w:r>
        <w:t xml:space="preserve">(Focardi et al. 2022)</w:t>
      </w:r>
      <w:r>
        <w:t xml:space="preserve"> </w:t>
      </w:r>
      <w:r>
        <w:t xml:space="preserve">found that PVC leachate alone dramatically restructured a natural</w:t>
      </w:r>
      <w:r>
        <w:t xml:space="preserve"> </w:t>
      </w:r>
      <w:r>
        <w:t xml:space="preserve">planktonic marine microbial community, suppressing primary producers</w:t>
      </w:r>
      <w:r>
        <w:t xml:space="preserve"> </w:t>
      </w:r>
      <w:r>
        <w:t xml:space="preserve">(including SAR11 and picophytoplankton) while favoring fast-growing</w:t>
      </w:r>
      <w:r>
        <w:t xml:space="preserve"> </w:t>
      </w:r>
      <w:r>
        <w:t xml:space="preserve">copiotrophs in the Alteromonadales. Accompanying metagenomics showed</w:t>
      </w:r>
      <w:r>
        <w:t xml:space="preserve"> </w:t>
      </w:r>
      <w:r>
        <w:t xml:space="preserve">enrichment in genes for pathogenicity and motility. Related work by</w:t>
      </w:r>
      <w:r>
        <w:t xml:space="preserve"> </w:t>
      </w:r>
      <w:r>
        <w:t xml:space="preserve">(Vlaanderen et al. 2023)</w:t>
      </w:r>
      <w:r>
        <w:t xml:space="preserve"> </w:t>
      </w:r>
      <w:r>
        <w:t xml:space="preserve">showed that PVC leachate enriches</w:t>
      </w:r>
      <w:r>
        <w:t xml:space="preserve"> </w:t>
      </w:r>
      <w:r>
        <w:t xml:space="preserve">antibiotic-resistant genes and virulence genes in seawater communities.</w:t>
      </w:r>
      <w:r>
        <w:t xml:space="preserve"> </w:t>
      </w:r>
      <w:r>
        <w:t xml:space="preserve">Although neither study highlights</w:t>
      </w:r>
      <w:r>
        <w:t xml:space="preserve"> </w:t>
      </w:r>
      <w:r>
        <w:rPr>
          <w:i/>
          <w:iCs/>
        </w:rPr>
        <w:t xml:space="preserve">Methylophaga</w:t>
      </w:r>
      <w:r>
        <w:t xml:space="preserve">, or is specific to</w:t>
      </w:r>
      <w:r>
        <w:t xml:space="preserve"> </w:t>
      </w:r>
      <w:r>
        <w:t xml:space="preserve">coral, both support the idea that PVC leachate can affect the microbial</w:t>
      </w:r>
      <w:r>
        <w:t xml:space="preserve"> </w:t>
      </w:r>
      <w:r>
        <w:t xml:space="preserve">environment in the seawater surrounding corals and their developing</w:t>
      </w:r>
      <w:r>
        <w:t xml:space="preserve"> </w:t>
      </w:r>
      <w:r>
        <w:t xml:space="preserve">embryos.</w:t>
      </w:r>
    </w:p>
    <w:p>
      <w:pPr>
        <w:pStyle w:val="BodyText"/>
      </w:pPr>
      <w:r>
        <w:t xml:space="preserve">Together, these results suggest that environmentally relevant PVC</w:t>
      </w:r>
      <w:r>
        <w:t xml:space="preserve"> </w:t>
      </w:r>
      <w:r>
        <w:t xml:space="preserve">exposure may exert subtle but ecologically meaningful selective</w:t>
      </w:r>
      <w:r>
        <w:t xml:space="preserve"> </w:t>
      </w:r>
      <w:r>
        <w:t xml:space="preserve">pressures on microbial assembly during coral embryogenesis, even when</w:t>
      </w:r>
      <w:r>
        <w:t xml:space="preserve"> </w:t>
      </w:r>
      <w:r>
        <w:t xml:space="preserve">overall community structure remains relatively stable.</w:t>
      </w:r>
    </w:p>
    <w:bookmarkEnd w:id="113"/>
    <w:bookmarkEnd w:id="114"/>
    <w:bookmarkStart w:id="115" w:name="conclusion"/>
    <w:p>
      <w:pPr>
        <w:pStyle w:val="Heading2"/>
      </w:pPr>
      <w:r>
        <w:t xml:space="preserve">Conclusion</w:t>
      </w:r>
    </w:p>
    <w:p>
      <w:pPr>
        <w:pStyle w:val="FirstParagraph"/>
      </w:pPr>
      <w:r>
        <w:t xml:space="preserve">At the surface,</w:t>
      </w:r>
      <w:r>
        <w:t xml:space="preserve"> </w:t>
      </w:r>
      <w:r>
        <w:rPr>
          <w:i/>
          <w:iCs/>
        </w:rPr>
        <w:t xml:space="preserve">Montipora capitata</w:t>
      </w:r>
      <w:r>
        <w:t xml:space="preserve"> </w:t>
      </w:r>
      <w:r>
        <w:t xml:space="preserve">coral embryos appear largely</w:t>
      </w:r>
      <w:r>
        <w:t xml:space="preserve"> </w:t>
      </w:r>
      <w:r>
        <w:t xml:space="preserve">resilient to PVC leachate stress, yet we detected several subtle but</w:t>
      </w:r>
      <w:r>
        <w:t xml:space="preserve"> </w:t>
      </w:r>
      <w:r>
        <w:t xml:space="preserve">important biological responses to PVC leachate pollution. Leachate</w:t>
      </w:r>
      <w:r>
        <w:t xml:space="preserve"> </w:t>
      </w:r>
      <w:r>
        <w:t xml:space="preserve">exposure was associated with small, stage-specific shifts in</w:t>
      </w:r>
      <w:r>
        <w:t xml:space="preserve"> </w:t>
      </w:r>
      <w:r>
        <w:t xml:space="preserve">developmental timing, suggesting that key embryonic transitions may be</w:t>
      </w:r>
      <w:r>
        <w:t xml:space="preserve"> </w:t>
      </w:r>
      <w:r>
        <w:t xml:space="preserve">modestly accelerated by PVC leachate exposure. At the molecular level,</w:t>
      </w:r>
      <w:r>
        <w:t xml:space="preserve"> </w:t>
      </w:r>
      <w:r>
        <w:t xml:space="preserve">130 genes responded to leachate exposure, indicating targeted</w:t>
      </w:r>
      <w:r>
        <w:t xml:space="preserve"> </w:t>
      </w:r>
      <w:r>
        <w:t xml:space="preserve">transcriptional effects nested within broader embryonic regulation.</w:t>
      </w:r>
      <w:r>
        <w:t xml:space="preserve"> </w:t>
      </w:r>
      <w:r>
        <w:t xml:space="preserve">Similarly, the embryo-associated microbiome did not undergo large</w:t>
      </w:r>
      <w:r>
        <w:t xml:space="preserve"> </w:t>
      </w:r>
      <w:r>
        <w:t xml:space="preserve">community-wide restructuring, yet specific bacterial taxa (and</w:t>
      </w:r>
      <w:r>
        <w:t xml:space="preserve"> </w:t>
      </w:r>
      <w:r>
        <w:t xml:space="preserve">subsequently their predicted functional pathways) were impacted by PVC</w:t>
      </w:r>
      <w:r>
        <w:t xml:space="preserve"> </w:t>
      </w:r>
      <w:r>
        <w:t xml:space="preserve">leachate exposure, particularly those linked to aromatic carbon</w:t>
      </w:r>
      <w:r>
        <w:t xml:space="preserve"> </w:t>
      </w:r>
      <w:r>
        <w:t xml:space="preserve">degradation and DMSP cycling. Together, these findings suggest that PVC</w:t>
      </w:r>
      <w:r>
        <w:t xml:space="preserve"> </w:t>
      </w:r>
      <w:r>
        <w:t xml:space="preserve">leachate may exert hidden sublethal effects that are not captured by</w:t>
      </w:r>
      <w:r>
        <w:t xml:space="preserve"> </w:t>
      </w:r>
      <w:r>
        <w:t xml:space="preserve">traditional survival-based endpoints.</w:t>
      </w:r>
    </w:p>
    <w:p>
      <w:pPr>
        <w:pStyle w:val="BodyText"/>
      </w:pPr>
      <w:r>
        <w:t xml:space="preserve">These findings reveal that exposure to plastic-derived chemicals can</w:t>
      </w:r>
      <w:r>
        <w:t xml:space="preserve"> </w:t>
      </w:r>
      <w:r>
        <w:t xml:space="preserve">subtly alter development, gene regulation, and host-associated</w:t>
      </w:r>
      <w:r>
        <w:t xml:space="preserve"> </w:t>
      </w:r>
      <w:r>
        <w:t xml:space="preserve">microbiomes during the most sensitive stages of coral life history. Such</w:t>
      </w:r>
      <w:r>
        <w:t xml:space="preserve"> </w:t>
      </w:r>
      <w:r>
        <w:t xml:space="preserve">early, low-dose effects may scale up to influence larval performance,</w:t>
      </w:r>
      <w:r>
        <w:t xml:space="preserve"> </w:t>
      </w:r>
      <w:r>
        <w:t xml:space="preserve">recruitment success, and ultimately coral population resilience. The</w:t>
      </w:r>
      <w:r>
        <w:t xml:space="preserve"> </w:t>
      </w:r>
      <w:r>
        <w:t xml:space="preserve">patterns detected here are consistent with the expected effects of</w:t>
      </w:r>
      <w:r>
        <w:t xml:space="preserve"> </w:t>
      </w:r>
      <w:r>
        <w:t xml:space="preserve">endocrine-disrupting chemicals operating through low-dose,</w:t>
      </w:r>
      <w:r>
        <w:t xml:space="preserve"> </w:t>
      </w:r>
      <w:r>
        <w:t xml:space="preserve">endocrine-like signaling.</w:t>
      </w:r>
    </w:p>
    <w:p>
      <w:pPr>
        <w:pStyle w:val="BodyText"/>
      </w:pPr>
      <w:r>
        <w:t xml:space="preserve">Future studies should investigate whether acute early-life exposure to</w:t>
      </w:r>
      <w:r>
        <w:t xml:space="preserve"> </w:t>
      </w:r>
      <w:r>
        <w:t xml:space="preserve">PVC leachate produces longer-term consequences that persist beyond</w:t>
      </w:r>
      <w:r>
        <w:t xml:space="preserve"> </w:t>
      </w:r>
      <w:r>
        <w:t xml:space="preserve">embryogenesis, including effects on epigenetic regulation, larval</w:t>
      </w:r>
      <w:r>
        <w:t xml:space="preserve"> </w:t>
      </w:r>
      <w:r>
        <w:t xml:space="preserve">survival trajectories, metamorphosis, and settlement success. Because</w:t>
      </w:r>
      <w:r>
        <w:t xml:space="preserve"> </w:t>
      </w:r>
      <w:r>
        <w:t xml:space="preserve">this study focused on acute exposure, additional work examining chronic</w:t>
      </w:r>
      <w:r>
        <w:t xml:space="preserve"> </w:t>
      </w:r>
      <w:r>
        <w:t xml:space="preserve">or repeated exposure scenarios is also needed to better reflect</w:t>
      </w:r>
      <w:r>
        <w:t xml:space="preserve"> </w:t>
      </w:r>
      <w:r>
        <w:t xml:space="preserve">environmentally realistic conditions. Plastic pollution rarely occurs in</w:t>
      </w:r>
      <w:r>
        <w:t xml:space="preserve"> </w:t>
      </w:r>
      <w:r>
        <w:t xml:space="preserve">isolation in reef environments, and future experiments should therefore</w:t>
      </w:r>
      <w:r>
        <w:t xml:space="preserve"> </w:t>
      </w:r>
      <w:r>
        <w:t xml:space="preserve">examine how PVC leachate interacts with additional stressors such as</w:t>
      </w:r>
      <w:r>
        <w:t xml:space="preserve"> </w:t>
      </w:r>
      <w:r>
        <w:t xml:space="preserve">thermal stress from ocean warming and marine heatwaves. Furthermore, PVC</w:t>
      </w:r>
      <w:r>
        <w:t xml:space="preserve"> </w:t>
      </w:r>
      <w:r>
        <w:t xml:space="preserve">leachate represents only one subset of microplastic polymers and</w:t>
      </w:r>
      <w:r>
        <w:t xml:space="preserve"> </w:t>
      </w:r>
      <w:r>
        <w:t xml:space="preserve">associated additive chemicals, and substantially more work is needed to</w:t>
      </w:r>
      <w:r>
        <w:t xml:space="preserve"> </w:t>
      </w:r>
      <w:r>
        <w:t xml:space="preserve">characterize the toxicity of other plastic types and chemical mixtures.</w:t>
      </w:r>
    </w:p>
    <w:p>
      <w:pPr>
        <w:pStyle w:val="BodyText"/>
      </w:pPr>
      <w:r>
        <w:t xml:space="preserve">This study is relevant to the conservation and management of coral reef</w:t>
      </w:r>
      <w:r>
        <w:t xml:space="preserve"> </w:t>
      </w:r>
      <w:r>
        <w:t xml:space="preserve">ecosystems, and can inform conservation, management, and policy</w:t>
      </w:r>
      <w:r>
        <w:t xml:space="preserve"> </w:t>
      </w:r>
      <w:r>
        <w:t xml:space="preserve">decisions on plastics and their chemical additives as emerging</w:t>
      </w:r>
      <w:r>
        <w:t xml:space="preserve"> </w:t>
      </w:r>
      <w:r>
        <w:t xml:space="preserve">contaminants of concern. Support for regulations that recognize and</w:t>
      </w:r>
      <w:r>
        <w:t xml:space="preserve"> </w:t>
      </w:r>
      <w:r>
        <w:t xml:space="preserve">mitigate the impacts of low-dose endocrine-disrupting chemicals on</w:t>
      </w:r>
      <w:r>
        <w:t xml:space="preserve"> </w:t>
      </w:r>
      <w:r>
        <w:t xml:space="preserve">vulnerable marine ecosystems is critical for protecting these vital</w:t>
      </w:r>
      <w:r>
        <w:t xml:space="preserve"> </w:t>
      </w:r>
      <w:r>
        <w:t xml:space="preserve">life-giving resources</w:t>
      </w:r>
      <w:r>
        <w:t xml:space="preserve"> </w:t>
      </w:r>
      <w:r>
        <w:t xml:space="preserve">(Vandenberg 2021)</w:t>
      </w:r>
      <w:r>
        <w:t xml:space="preserve">.</w:t>
      </w:r>
    </w:p>
    <w:bookmarkEnd w:id="115"/>
    <w:bookmarkStart w:id="116" w:name="acknowledgements"/>
    <w:p>
      <w:pPr>
        <w:pStyle w:val="Heading2"/>
      </w:pPr>
      <w:r>
        <w:t xml:space="preserve">Acknowledgements</w:t>
      </w:r>
    </w:p>
    <w:p>
      <w:pPr>
        <w:pStyle w:val="FirstParagraph"/>
      </w:pPr>
      <w:r>
        <w:t xml:space="preserve">This experiment was conducted on Oahu, Hawaiʻi. As guests, we recognize</w:t>
      </w:r>
      <w:r>
        <w:t xml:space="preserve"> </w:t>
      </w:r>
      <w:r>
        <w:t xml:space="preserve">and give thanks for the land and water resources of the ʻaina and the</w:t>
      </w:r>
      <w:r>
        <w:t xml:space="preserve"> </w:t>
      </w:r>
      <w:r>
        <w:t xml:space="preserve">traditional owners of the land, kanaka ʻoiwi, both past and present, as</w:t>
      </w:r>
      <w:r>
        <w:t xml:space="preserve"> </w:t>
      </w:r>
      <w:r>
        <w:t xml:space="preserve">well as future generations, on which this experimental work was</w:t>
      </w:r>
      <w:r>
        <w:t xml:space="preserve"> </w:t>
      </w:r>
      <w:r>
        <w:t xml:space="preserve">conducted in the Kaneʻohe Ahupuaʻa. Molecular lab work and computational</w:t>
      </w:r>
      <w:r>
        <w:t xml:space="preserve"> </w:t>
      </w:r>
      <w:r>
        <w:t xml:space="preserve">analysis were conducted in Seattle, WA. We therefore wish to acknowledge</w:t>
      </w:r>
      <w:r>
        <w:t xml:space="preserve"> </w:t>
      </w:r>
      <w:r>
        <w:t xml:space="preserve">the Coast Salish peoples of the land that touches the shared waters of</w:t>
      </w:r>
      <w:r>
        <w:t xml:space="preserve"> </w:t>
      </w:r>
      <w:r>
        <w:t xml:space="preserve">all tribes and bands within the Suquamish, Tulalip, and Muckleshoot</w:t>
      </w:r>
      <w:r>
        <w:t xml:space="preserve"> </w:t>
      </w:r>
      <w:r>
        <w:t xml:space="preserve">nations. We are grateful for the logistical support provided by the</w:t>
      </w:r>
      <w:r>
        <w:t xml:space="preserve"> </w:t>
      </w:r>
      <w:r>
        <w:t xml:space="preserve">Donohue Lab, the Coral Resilience Lab and the Hawaiʻi Institute of</w:t>
      </w:r>
      <w:r>
        <w:t xml:space="preserve"> </w:t>
      </w:r>
      <w:r>
        <w:t xml:space="preserve">Marine Biology. We acknowledge use of the computational resources of the</w:t>
      </w:r>
      <w:r>
        <w:t xml:space="preserve"> </w:t>
      </w:r>
      <w:r>
        <w:t xml:space="preserve">Roberts Lab, and have immense gratitude for the guidance of Sam White</w:t>
      </w:r>
      <w:r>
        <w:t xml:space="preserve"> </w:t>
      </w:r>
      <w:r>
        <w:t xml:space="preserve">and Ariana Huffmyer. We acknowledge coral colony collection by Callum</w:t>
      </w:r>
      <w:r>
        <w:t xml:space="preserve"> </w:t>
      </w:r>
      <w:r>
        <w:t xml:space="preserve">Backstrom and Katherine Lasdin, as well as experimental assay setup and</w:t>
      </w:r>
      <w:r>
        <w:t xml:space="preserve"> </w:t>
      </w:r>
      <w:r>
        <w:t xml:space="preserve">sample collection by Katherine Lasdin. We acknowledge Savanah Leidholdt,</w:t>
      </w:r>
      <w:r>
        <w:t xml:space="preserve"> </w:t>
      </w:r>
      <w:r>
        <w:t xml:space="preserve">Jesse Zaneveld, and Amy Van Cise for helpful discussions on 16S</w:t>
      </w:r>
      <w:r>
        <w:t xml:space="preserve"> </w:t>
      </w:r>
      <w:r>
        <w:t xml:space="preserve">bacterial analyses.</w:t>
      </w:r>
    </w:p>
    <w:bookmarkEnd w:id="116"/>
    <w:bookmarkStart w:id="117" w:name="competing-interests"/>
    <w:p>
      <w:pPr>
        <w:pStyle w:val="Heading2"/>
      </w:pPr>
      <w:r>
        <w:t xml:space="preserve">Competing interests</w:t>
      </w:r>
    </w:p>
    <w:p>
      <w:pPr>
        <w:pStyle w:val="FirstParagraph"/>
      </w:pPr>
      <w:r>
        <w:t xml:space="preserve">The authors declare that they have no known competing financial</w:t>
      </w:r>
      <w:r>
        <w:t xml:space="preserve"> </w:t>
      </w:r>
      <w:r>
        <w:t xml:space="preserve">interests or personal relationships that could have appeared to</w:t>
      </w:r>
      <w:r>
        <w:t xml:space="preserve"> </w:t>
      </w:r>
      <w:r>
        <w:t xml:space="preserve">influence the work reported in this paper.</w:t>
      </w:r>
    </w:p>
    <w:bookmarkEnd w:id="117"/>
    <w:bookmarkStart w:id="118" w:name="author-contributions"/>
    <w:p>
      <w:pPr>
        <w:pStyle w:val="Heading2"/>
      </w:pPr>
      <w:r>
        <w:t xml:space="preserve">Author contributions</w:t>
      </w:r>
    </w:p>
    <w:p>
      <w:pPr>
        <w:pStyle w:val="FirstParagraph"/>
      </w:pPr>
      <w:r>
        <w:t xml:space="preserve">S.T. conducted the investigation, developed the methodology, performed</w:t>
      </w:r>
      <w:r>
        <w:t xml:space="preserve"> </w:t>
      </w:r>
      <w:r>
        <w:t xml:space="preserve">formal analyses, administered the project, created visualizations, and</w:t>
      </w:r>
      <w:r>
        <w:t xml:space="preserve"> </w:t>
      </w:r>
      <w:r>
        <w:t xml:space="preserve">wrote the original draft of the manuscript. S.R. provided supervision</w:t>
      </w:r>
      <w:r>
        <w:t xml:space="preserve"> </w:t>
      </w:r>
      <w:r>
        <w:t xml:space="preserve">and resources and contributed to writing, review, and editing. F.S.</w:t>
      </w:r>
      <w:r>
        <w:t xml:space="preserve"> </w:t>
      </w:r>
      <w:r>
        <w:t xml:space="preserve">provided resources, contributed to validation, and participated in</w:t>
      </w:r>
      <w:r>
        <w:t xml:space="preserve"> </w:t>
      </w:r>
      <w:r>
        <w:t xml:space="preserve">writing, review, and editing. S.S. provided resources, contributed to</w:t>
      </w:r>
      <w:r>
        <w:t xml:space="preserve"> </w:t>
      </w:r>
      <w:r>
        <w:t xml:space="preserve">formal analysis, and participated in writing, review, and editing.</w:t>
      </w:r>
      <w:r>
        <w:t xml:space="preserve"> </w:t>
      </w:r>
      <w:r>
        <w:t xml:space="preserve">J.L.P.G. conceived the study, acquired funding, supervised the project,</w:t>
      </w:r>
      <w:r>
        <w:t xml:space="preserve"> </w:t>
      </w:r>
      <w:r>
        <w:t xml:space="preserve">and contributed to writing the original draft of the manuscript.</w:t>
      </w:r>
    </w:p>
    <w:bookmarkEnd w:id="118"/>
    <w:bookmarkStart w:id="119" w:name="funding"/>
    <w:p>
      <w:pPr>
        <w:pStyle w:val="Heading2"/>
      </w:pPr>
      <w:r>
        <w:t xml:space="preserve">Funding</w:t>
      </w:r>
    </w:p>
    <w:p>
      <w:pPr>
        <w:pStyle w:val="FirstParagraph"/>
      </w:pPr>
      <w:r>
        <w:t xml:space="preserve">This research was supported by the National Science Foundation CAREER</w:t>
      </w:r>
      <w:r>
        <w:t xml:space="preserve"> </w:t>
      </w:r>
      <w:r>
        <w:t xml:space="preserve">Grant (award no. ), the University of Washington College of Environment</w:t>
      </w:r>
      <w:r>
        <w:t xml:space="preserve"> </w:t>
      </w:r>
      <w:r>
        <w:t xml:space="preserve">Benjamin and Margaret Hall Student Research Support Fund , and the</w:t>
      </w:r>
      <w:r>
        <w:t xml:space="preserve"> </w:t>
      </w:r>
      <w:r>
        <w:t xml:space="preserve">University of Washington School of Aquatic &amp; Fishery Sciences Finishing</w:t>
      </w:r>
      <w:r>
        <w:t xml:space="preserve"> </w:t>
      </w:r>
      <w:r>
        <w:t xml:space="preserve">Fellowship.</w:t>
      </w:r>
    </w:p>
    <w:bookmarkEnd w:id="119"/>
    <w:bookmarkStart w:id="120" w:name="data-availability"/>
    <w:p>
      <w:pPr>
        <w:pStyle w:val="Heading2"/>
      </w:pPr>
      <w:r>
        <w:t xml:space="preserve">Data availability</w:t>
      </w:r>
    </w:p>
    <w:p>
      <w:pPr>
        <w:pStyle w:val="FirstParagraph"/>
      </w:pPr>
      <w:r>
        <w:t xml:space="preserve">Raw paired-end reads (FASTQ format) of RNA-Seq and 16S were deposited</w:t>
      </w:r>
      <w:r>
        <w:t xml:space="preserve"> </w:t>
      </w:r>
      <w:r>
        <w:t xml:space="preserve">and are publicly available in the National Center for Biotechnology</w:t>
      </w:r>
      <w:r>
        <w:t xml:space="preserve"> </w:t>
      </w:r>
      <w:r>
        <w:t xml:space="preserve">Information (NCBI) Sequence Read Archive (SRA) under BioProject</w:t>
      </w:r>
      <w:r>
        <w:t xml:space="preserve"> </w:t>
      </w:r>
      <w:r>
        <w:t xml:space="preserve">accession numbers PRJNA1177827 and PRJNA1244351.</w:t>
      </w:r>
    </w:p>
    <w:bookmarkEnd w:id="120"/>
    <w:bookmarkStart w:id="121" w:name="ai"/>
    <w:p>
      <w:pPr>
        <w:pStyle w:val="Heading2"/>
      </w:pPr>
      <w:r>
        <w:t xml:space="preserve">AI</w:t>
      </w:r>
    </w:p>
    <w:p>
      <w:pPr>
        <w:pStyle w:val="FirstParagraph"/>
      </w:pPr>
      <w:r>
        <w:rPr>
          <w:b/>
          <w:bCs/>
        </w:rPr>
        <w:t xml:space="preserve">Declaration of generative AI and AI-assisted technologies in the</w:t>
      </w:r>
      <w:r>
        <w:rPr>
          <w:b/>
          <w:bCs/>
        </w:rPr>
        <w:t xml:space="preserve"> </w:t>
      </w:r>
      <w:r>
        <w:rPr>
          <w:b/>
          <w:bCs/>
        </w:rPr>
        <w:t xml:space="preserve">manuscript preparation process</w:t>
      </w:r>
    </w:p>
    <w:p>
      <w:pPr>
        <w:pStyle w:val="BodyText"/>
      </w:pPr>
      <w:r>
        <w:t xml:space="preserve">During the preparation of this work the author(s) used ChatGPT in order</w:t>
      </w:r>
      <w:r>
        <w:t xml:space="preserve"> </w:t>
      </w:r>
      <w:r>
        <w:t xml:space="preserve">to summarize methods of analysis in R, and Elicit to search for peer</w:t>
      </w:r>
      <w:r>
        <w:t xml:space="preserve"> </w:t>
      </w:r>
      <w:r>
        <w:t xml:space="preserve">reviewed papers. After using this tool/service, the author(s) reviewed</w:t>
      </w:r>
      <w:r>
        <w:t xml:space="preserve"> </w:t>
      </w:r>
      <w:r>
        <w:t xml:space="preserve">and edited the content as needed and take(s) full responsibility for the</w:t>
      </w:r>
      <w:r>
        <w:t xml:space="preserve"> </w:t>
      </w:r>
      <w:r>
        <w:t xml:space="preserve">content of the published article.</w:t>
      </w:r>
    </w:p>
    <w:bookmarkEnd w:id="121"/>
    <w:bookmarkStart w:id="343" w:name="sec-supplementary"/>
    <w:p>
      <w:pPr>
        <w:pStyle w:val="Heading2"/>
      </w:pPr>
      <w:r>
        <w:t xml:space="preserve">Supplementary</w:t>
      </w:r>
    </w:p>
    <w:tbl>
      <w:tblPr>
        <w:tblStyle w:val="Table"/>
        <w:tblW w:type="pct" w:w="5000"/>
        <w:tblLayout w:type="fixed"/>
        <w:tblLook w:firstRow="0" w:lastRow="0" w:firstColumn="0" w:lastColumn="0" w:noHBand="0" w:noVBand="0" w:val="0000"/>
      </w:tblPr>
      <w:tblGrid>
        <w:gridCol w:w="7920"/>
      </w:tblGrid>
      <w:tr>
        <w:tc>
          <w:tcPr/>
          <w:bookmarkStart w:id="125" w:name="fig-exp-design"/>
          <w:p>
            <w:pPr>
              <w:pStyle w:val="Compact"/>
              <w:jc w:val="center"/>
            </w:pPr>
            <w:r>
              <w:drawing>
                <wp:inline>
                  <wp:extent cx="5334000" cy="2489200"/>
                  <wp:effectExtent b="0" l="0" r="0" t="0"/>
                  <wp:docPr descr="" title="" id="123" name="Picture"/>
                  <a:graphic>
                    <a:graphicData uri="http://schemas.openxmlformats.org/drawingml/2006/picture">
                      <pic:pic>
                        <pic:nvPicPr>
                          <pic:cNvPr descr="figs/experimental_design.png" id="124" name="Picture"/>
                          <pic:cNvPicPr>
                            <a:picLocks noChangeArrowheads="1" noChangeAspect="1"/>
                          </pic:cNvPicPr>
                        </pic:nvPicPr>
                        <pic:blipFill>
                          <a:blip r:embed="rId122"/>
                          <a:stretch>
                            <a:fillRect/>
                          </a:stretch>
                        </pic:blipFill>
                        <pic:spPr bwMode="auto">
                          <a:xfrm>
                            <a:off x="0" y="0"/>
                            <a:ext cx="5334000" cy="2489200"/>
                          </a:xfrm>
                          <a:prstGeom prst="rect">
                            <a:avLst/>
                          </a:prstGeom>
                          <a:noFill/>
                          <a:ln w="9525">
                            <a:noFill/>
                            <a:headEnd/>
                            <a:tailEnd/>
                          </a:ln>
                        </pic:spPr>
                      </pic:pic>
                    </a:graphicData>
                  </a:graphic>
                </wp:inline>
              </w:drawing>
            </w:r>
          </w:p>
          <w:p>
            <w:pPr>
              <w:jc w:val="center"/>
            </w:pPr>
            <w:pPr>
              <w:jc w:val="left"/>
              <w:spacing w:before="200"/>
              <w:pStyle w:val="ImageCaption"/>
            </w:pPr>
            <w:r>
              <w:t xml:space="preserve">Figure 16: Experimental overview of</w:t>
            </w:r>
            <w:r>
              <w:t xml:space="preserve"> </w:t>
            </w:r>
            <w:r>
              <w:rPr>
                <w:i/>
                <w:iCs/>
              </w:rPr>
              <w:t xml:space="preserve">Montipora capitata</w:t>
            </w:r>
            <w:r>
              <w:t xml:space="preserve"> </w:t>
            </w:r>
            <w:r>
              <w:t xml:space="preserve">early life-stage</w:t>
            </w:r>
            <w:r>
              <w:t xml:space="preserve"> </w:t>
            </w:r>
            <w:r>
              <w:t xml:space="preserve">exposure to PVC leachate. Schematic showing the reproductive biology and</w:t>
            </w:r>
            <w:r>
              <w:t xml:space="preserve"> </w:t>
            </w:r>
            <w:r>
              <w:t xml:space="preserve">experimental design used to obtain coral embryos and assess the effects</w:t>
            </w:r>
            <w:r>
              <w:t xml:space="preserve"> </w:t>
            </w:r>
            <w:r>
              <w:t xml:space="preserve">of plastic-derived leachates during early</w:t>
            </w:r>
            <w:r>
              <w:t xml:space="preserve"> </w:t>
            </w:r>
            <w:r>
              <w:t xml:space="preserve">development.</w:t>
            </w:r>
          </w:p>
          <w:bookmarkEnd w:id="125"/>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29" w:name="fig-whowhenpool"/>
          <w:p>
            <w:pPr>
              <w:pStyle w:val="Compact"/>
              <w:jc w:val="center"/>
            </w:pPr>
            <w:r>
              <w:drawing>
                <wp:inline>
                  <wp:extent cx="5334000" cy="8890000"/>
                  <wp:effectExtent b="0" l="0" r="0" t="0"/>
                  <wp:docPr descr="" title="" id="127" name="Picture"/>
                  <a:graphic>
                    <a:graphicData uri="http://schemas.openxmlformats.org/drawingml/2006/picture">
                      <pic:pic>
                        <pic:nvPicPr>
                          <pic:cNvPr descr="figs/whowhenpool.png" id="128" name="Picture"/>
                          <pic:cNvPicPr>
                            <a:picLocks noChangeArrowheads="1" noChangeAspect="1"/>
                          </pic:cNvPicPr>
                        </pic:nvPicPr>
                        <pic:blipFill>
                          <a:blip r:embed="rId126"/>
                          <a:stretch>
                            <a:fillRect/>
                          </a:stretch>
                        </pic:blipFill>
                        <pic:spPr bwMode="auto">
                          <a:xfrm>
                            <a:off x="0" y="0"/>
                            <a:ext cx="5334000" cy="8890000"/>
                          </a:xfrm>
                          <a:prstGeom prst="rect">
                            <a:avLst/>
                          </a:prstGeom>
                          <a:noFill/>
                          <a:ln w="9525">
                            <a:noFill/>
                            <a:headEnd/>
                            <a:tailEnd/>
                          </a:ln>
                        </pic:spPr>
                      </pic:pic>
                    </a:graphicData>
                  </a:graphic>
                </wp:inline>
              </w:drawing>
            </w:r>
          </w:p>
          <w:p>
            <w:pPr>
              <w:jc w:val="center"/>
            </w:pPr>
            <w:pPr>
              <w:jc w:val="left"/>
              <w:spacing w:before="200"/>
              <w:pStyle w:val="ImageCaption"/>
            </w:pPr>
            <w:r>
              <w:t xml:space="preserve">Figure 17: Display of coral parent colonies used in cross-fertilization assay</w:t>
            </w:r>
            <w:r>
              <w:t xml:space="preserve"> </w:t>
            </w:r>
            <w:r>
              <w:t xml:space="preserve">broken down by night of colony spawning and sample pooling structure for</w:t>
            </w:r>
            <w:r>
              <w:t xml:space="preserve"> </w:t>
            </w:r>
            <w:r>
              <w:t xml:space="preserve">DNA/RNA extraction.</w:t>
            </w:r>
          </w:p>
          <w:bookmarkEnd w:id="129"/>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30" w:name="tbl-survival-summary"/>
          <w:p>
            <w:pPr>
              <w:jc w:val="center"/>
            </w:pPr>
            <w:pPr>
              <w:jc w:val="left"/>
              <w:spacing w:before="200"/>
              <w:pStyle w:val="ImageCaption"/>
            </w:pPr>
            <w:r>
              <w:t xml:space="preserve">Table 1: Summary of embryo count means indicating survival of embryos across treatment and developmental time</w:t>
            </w:r>
          </w:p>
          <w:tbl>
            <w:tblPr>
              <w:tblStyle w:val="Table"/>
              <w:tblW w:type="pct" w:w="5000"/>
              <w:tblLayout w:type="fixed"/>
              <w:tblLook w:firstRow="1" w:lastRow="0" w:firstColumn="0" w:lastColumn="0" w:noHBand="0" w:noVBand="0" w:val="0020"/>
            </w:tblPr>
            <w:tblGrid>
              <w:gridCol w:w="2357"/>
              <w:gridCol w:w="1320"/>
              <w:gridCol w:w="1508"/>
              <w:gridCol w:w="1414"/>
              <w:gridCol w:w="1320"/>
            </w:tblGrid>
            <w:tr>
              <w:trPr>
                <w:tblHeader w:val="on"/>
              </w:trPr>
              <w:tc>
                <w:tcPr/>
                <w:p>
                  <w:pPr>
                    <w:pStyle w:val="Compact"/>
                    <w:jc w:val="right"/>
                    <w:jc w:val="center"/>
                  </w:pPr>
                  <w:r>
                    <w:t xml:space="preserve">Hours post-fertilization</w:t>
                  </w:r>
                </w:p>
              </w:tc>
              <w:tc>
                <w:tcPr/>
                <w:p>
                  <w:pPr>
                    <w:pStyle w:val="Compact"/>
                    <w:jc w:val="left"/>
                    <w:jc w:val="center"/>
                  </w:pPr>
                  <w:r>
                    <w:t xml:space="preserve">Control (FSW)</w:t>
                  </w:r>
                </w:p>
              </w:tc>
              <w:tc>
                <w:tcPr/>
                <w:p>
                  <w:pPr>
                    <w:pStyle w:val="Compact"/>
                    <w:jc w:val="left"/>
                    <w:jc w:val="center"/>
                  </w:pPr>
                  <w:r>
                    <w:t xml:space="preserve">Low (0.01 mg/L)</w:t>
                  </w:r>
                </w:p>
              </w:tc>
              <w:tc>
                <w:tcPr/>
                <w:p>
                  <w:pPr>
                    <w:pStyle w:val="Compact"/>
                    <w:jc w:val="left"/>
                    <w:jc w:val="center"/>
                  </w:pPr>
                  <w:r>
                    <w:t xml:space="preserve">Mid (0.1 mg/L)</w:t>
                  </w:r>
                </w:p>
              </w:tc>
              <w:tc>
                <w:tcPr/>
                <w:p>
                  <w:pPr>
                    <w:pStyle w:val="Compact"/>
                    <w:jc w:val="left"/>
                    <w:jc w:val="center"/>
                  </w:pPr>
                  <w:r>
                    <w:t xml:space="preserve">High (1 mg/L)</w:t>
                  </w:r>
                </w:p>
              </w:tc>
            </w:tr>
            <w:tr>
              <w:tc>
                <w:tcPr/>
                <w:p>
                  <w:pPr>
                    <w:pStyle w:val="Compact"/>
                    <w:jc w:val="right"/>
                    <w:jc w:val="center"/>
                  </w:pPr>
                  <w:r>
                    <w:t xml:space="preserve">4</w:t>
                  </w:r>
                </w:p>
              </w:tc>
              <w:tc>
                <w:tcPr/>
                <w:p>
                  <w:pPr>
                    <w:pStyle w:val="Compact"/>
                    <w:jc w:val="left"/>
                    <w:jc w:val="center"/>
                  </w:pPr>
                  <w:r>
                    <w:t xml:space="preserve">27.0 ± 3.9</w:t>
                  </w:r>
                </w:p>
              </w:tc>
              <w:tc>
                <w:tcPr/>
                <w:p>
                  <w:pPr>
                    <w:pStyle w:val="Compact"/>
                    <w:jc w:val="left"/>
                    <w:jc w:val="center"/>
                  </w:pPr>
                  <w:r>
                    <w:t xml:space="preserve">27.3 ± 4.9</w:t>
                  </w:r>
                </w:p>
              </w:tc>
              <w:tc>
                <w:tcPr/>
                <w:p>
                  <w:pPr>
                    <w:pStyle w:val="Compact"/>
                    <w:jc w:val="left"/>
                    <w:jc w:val="center"/>
                  </w:pPr>
                  <w:r>
                    <w:t xml:space="preserve">24.0 ± 5.4</w:t>
                  </w:r>
                </w:p>
              </w:tc>
              <w:tc>
                <w:tcPr/>
                <w:p>
                  <w:pPr>
                    <w:pStyle w:val="Compact"/>
                    <w:jc w:val="left"/>
                    <w:jc w:val="center"/>
                  </w:pPr>
                  <w:r>
                    <w:t xml:space="preserve">26.0 ± 3.2</w:t>
                  </w:r>
                </w:p>
              </w:tc>
            </w:tr>
            <w:tr>
              <w:tc>
                <w:tcPr/>
                <w:p>
                  <w:pPr>
                    <w:pStyle w:val="Compact"/>
                    <w:jc w:val="right"/>
                    <w:jc w:val="center"/>
                  </w:pPr>
                  <w:r>
                    <w:t xml:space="preserve">9</w:t>
                  </w:r>
                </w:p>
              </w:tc>
              <w:tc>
                <w:tcPr/>
                <w:p>
                  <w:pPr>
                    <w:pStyle w:val="Compact"/>
                    <w:jc w:val="left"/>
                    <w:jc w:val="center"/>
                  </w:pPr>
                  <w:r>
                    <w:t xml:space="preserve">12.4 ± 7.5</w:t>
                  </w:r>
                </w:p>
              </w:tc>
              <w:tc>
                <w:tcPr/>
                <w:p>
                  <w:pPr>
                    <w:pStyle w:val="Compact"/>
                    <w:jc w:val="left"/>
                    <w:jc w:val="center"/>
                  </w:pPr>
                  <w:r>
                    <w:t xml:space="preserve">12.6 ± 8.8</w:t>
                  </w:r>
                </w:p>
              </w:tc>
              <w:tc>
                <w:tcPr/>
                <w:p>
                  <w:pPr>
                    <w:pStyle w:val="Compact"/>
                    <w:jc w:val="left"/>
                    <w:jc w:val="center"/>
                  </w:pPr>
                  <w:r>
                    <w:t xml:space="preserve">12.9 ± 6.1</w:t>
                  </w:r>
                </w:p>
              </w:tc>
              <w:tc>
                <w:tcPr/>
                <w:p>
                  <w:pPr>
                    <w:pStyle w:val="Compact"/>
                    <w:jc w:val="left"/>
                    <w:jc w:val="center"/>
                  </w:pPr>
                  <w:r>
                    <w:t xml:space="preserve">11.1 ± 8.0</w:t>
                  </w:r>
                </w:p>
              </w:tc>
            </w:tr>
            <w:tr>
              <w:tc>
                <w:tcPr/>
                <w:p>
                  <w:pPr>
                    <w:pStyle w:val="Compact"/>
                    <w:jc w:val="right"/>
                    <w:jc w:val="center"/>
                  </w:pPr>
                  <w:r>
                    <w:t xml:space="preserve">14</w:t>
                  </w:r>
                </w:p>
              </w:tc>
              <w:tc>
                <w:tcPr/>
                <w:p>
                  <w:pPr>
                    <w:pStyle w:val="Compact"/>
                    <w:jc w:val="left"/>
                    <w:jc w:val="center"/>
                  </w:pPr>
                  <w:r>
                    <w:t xml:space="preserve">11.3 ± 5.6</w:t>
                  </w:r>
                </w:p>
              </w:tc>
              <w:tc>
                <w:tcPr/>
                <w:p>
                  <w:pPr>
                    <w:pStyle w:val="Compact"/>
                    <w:jc w:val="left"/>
                    <w:jc w:val="center"/>
                  </w:pPr>
                  <w:r>
                    <w:t xml:space="preserve">12.7 ± 4.7</w:t>
                  </w:r>
                </w:p>
              </w:tc>
              <w:tc>
                <w:tcPr/>
                <w:p>
                  <w:pPr>
                    <w:pStyle w:val="Compact"/>
                    <w:jc w:val="left"/>
                    <w:jc w:val="center"/>
                  </w:pPr>
                  <w:r>
                    <w:t xml:space="preserve">14.2 ± 7.2</w:t>
                  </w:r>
                </w:p>
              </w:tc>
              <w:tc>
                <w:tcPr/>
                <w:p>
                  <w:pPr>
                    <w:pStyle w:val="Compact"/>
                    <w:jc w:val="left"/>
                    <w:jc w:val="center"/>
                  </w:pPr>
                  <w:r>
                    <w:t xml:space="preserve">9.6 ± 4.6</w:t>
                  </w:r>
                </w:p>
              </w:tc>
            </w:tr>
          </w:tbl>
          <w:bookmarkEnd w:id="130"/>
          <w:p/>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31" w:name="tbl-survival-anova"/>
          <w:p>
            <w:pPr>
              <w:jc w:val="center"/>
            </w:pPr>
            <w:pPr>
              <w:jc w:val="left"/>
              <w:spacing w:before="200"/>
              <w:pStyle w:val="ImageCaption"/>
            </w:pPr>
            <w:r>
              <w:t xml:space="preserve">Table 2: ANOVA results for relative survival of embryos across treatment and developmental time</w:t>
            </w:r>
          </w:p>
          <w:tbl>
            <w:tblPr>
              <w:tblStyle w:val="Table"/>
              <w:tblW w:type="pct" w:w="5000"/>
              <w:tblLayout w:type="fixed"/>
              <w:tblLook w:firstRow="1" w:lastRow="0" w:firstColumn="0" w:lastColumn="0" w:noHBand="0" w:noVBand="0" w:val="0020"/>
            </w:tblPr>
            <w:tblGrid>
              <w:gridCol w:w="2860"/>
              <w:gridCol w:w="330"/>
              <w:gridCol w:w="1210"/>
              <w:gridCol w:w="1210"/>
              <w:gridCol w:w="1210"/>
              <w:gridCol w:w="1100"/>
            </w:tblGrid>
            <w:tr>
              <w:trPr>
                <w:tblHeader w:val="on"/>
              </w:trPr>
              <w:tc>
                <w:tcPr/>
                <w:p>
                  <w:pPr>
                    <w:pStyle w:val="Compact"/>
                    <w:jc w:val="left"/>
                    <w:jc w:val="center"/>
                  </w:pPr>
                  <w:r>
                    <w:t xml:space="preserve">Term</w:t>
                  </w:r>
                </w:p>
              </w:tc>
              <w:tc>
                <w:tcPr/>
                <w:p>
                  <w:pPr>
                    <w:pStyle w:val="Compact"/>
                    <w:jc w:val="right"/>
                    <w:jc w:val="center"/>
                  </w:pPr>
                  <w:r>
                    <w:t xml:space="preserve">df</w:t>
                  </w:r>
                </w:p>
              </w:tc>
              <w:tc>
                <w:tcPr/>
                <w:p>
                  <w:pPr>
                    <w:pStyle w:val="Compact"/>
                    <w:jc w:val="right"/>
                    <w:jc w:val="center"/>
                  </w:pPr>
                  <w:r>
                    <w:t xml:space="preserve">Sum Sq</w:t>
                  </w:r>
                </w:p>
              </w:tc>
              <w:tc>
                <w:tcPr/>
                <w:p>
                  <w:pPr>
                    <w:pStyle w:val="Compact"/>
                    <w:jc w:val="right"/>
                    <w:jc w:val="center"/>
                  </w:pPr>
                  <w:r>
                    <w:t xml:space="preserve">Mean Sq</w:t>
                  </w:r>
                </w:p>
              </w:tc>
              <w:tc>
                <w:tcPr/>
                <w:p>
                  <w:pPr>
                    <w:pStyle w:val="Compact"/>
                    <w:jc w:val="right"/>
                    <w:jc w:val="center"/>
                  </w:pPr>
                  <w:r>
                    <w:t xml:space="preserve">F value</w:t>
                  </w:r>
                </w:p>
              </w:tc>
              <w:tc>
                <w:tcPr/>
                <w:p>
                  <w:pPr>
                    <w:pStyle w:val="Compact"/>
                    <w:jc w:val="right"/>
                    <w:jc w:val="center"/>
                  </w:pPr>
                  <w:r>
                    <w:t xml:space="preserve">Pr(&gt;F)</w:t>
                  </w:r>
                </w:p>
              </w:tc>
            </w:tr>
            <w:tr>
              <w:tc>
                <w:tcPr/>
                <w:p>
                  <w:pPr>
                    <w:pStyle w:val="Compact"/>
                    <w:jc w:val="left"/>
                    <w:jc w:val="center"/>
                  </w:pPr>
                  <w:r>
                    <w:t xml:space="preserve">PVC leachate treatment</w:t>
                  </w:r>
                </w:p>
              </w:tc>
              <w:tc>
                <w:tcPr/>
                <w:p>
                  <w:pPr>
                    <w:pStyle w:val="Compact"/>
                    <w:jc w:val="right"/>
                    <w:jc w:val="center"/>
                  </w:pPr>
                  <w:r>
                    <w:t xml:space="preserve">3</w:t>
                  </w:r>
                </w:p>
              </w:tc>
              <w:tc>
                <w:tcPr/>
                <w:p>
                  <w:pPr>
                    <w:pStyle w:val="Compact"/>
                    <w:jc w:val="right"/>
                    <w:jc w:val="center"/>
                  </w:pPr>
                  <w:r>
                    <w:t xml:space="preserve">57.51852</w:t>
                  </w:r>
                </w:p>
              </w:tc>
              <w:tc>
                <w:tcPr/>
                <w:p>
                  <w:pPr>
                    <w:pStyle w:val="Compact"/>
                    <w:jc w:val="right"/>
                    <w:jc w:val="center"/>
                  </w:pPr>
                  <w:r>
                    <w:t xml:space="preserve">19.17284</w:t>
                  </w:r>
                </w:p>
              </w:tc>
              <w:tc>
                <w:tcPr/>
                <w:p>
                  <w:pPr>
                    <w:pStyle w:val="Compact"/>
                    <w:jc w:val="right"/>
                    <w:jc w:val="center"/>
                  </w:pPr>
                  <w:r>
                    <w:t xml:space="preserve">0.5228956</w:t>
                  </w:r>
                </w:p>
              </w:tc>
              <w:tc>
                <w:tcPr/>
                <w:p>
                  <w:pPr>
                    <w:pStyle w:val="Compact"/>
                    <w:jc w:val="right"/>
                    <w:jc w:val="center"/>
                  </w:pPr>
                  <w:r>
                    <w:t xml:space="preserve">0.6675647</w:t>
                  </w:r>
                </w:p>
              </w:tc>
            </w:tr>
            <w:tr>
              <w:tc>
                <w:tcPr/>
                <w:p>
                  <w:pPr>
                    <w:pStyle w:val="Compact"/>
                    <w:jc w:val="left"/>
                    <w:jc w:val="center"/>
                  </w:pPr>
                  <w:r>
                    <w:t xml:space="preserve">Developmental stage (hpf)</w:t>
                  </w:r>
                </w:p>
              </w:tc>
              <w:tc>
                <w:tcPr/>
                <w:p>
                  <w:pPr>
                    <w:pStyle w:val="Compact"/>
                    <w:jc w:val="right"/>
                    <w:jc w:val="center"/>
                  </w:pPr>
                  <w:r>
                    <w:t xml:space="preserve">2</w:t>
                  </w:r>
                </w:p>
              </w:tc>
              <w:tc>
                <w:tcPr/>
                <w:p>
                  <w:pPr>
                    <w:pStyle w:val="Compact"/>
                    <w:jc w:val="right"/>
                    <w:jc w:val="center"/>
                  </w:pPr>
                  <w:r>
                    <w:t xml:space="preserve">4696.35185</w:t>
                  </w:r>
                </w:p>
              </w:tc>
              <w:tc>
                <w:tcPr/>
                <w:p>
                  <w:pPr>
                    <w:pStyle w:val="Compact"/>
                    <w:jc w:val="right"/>
                    <w:jc w:val="center"/>
                  </w:pPr>
                  <w:r>
                    <w:t xml:space="preserve">2348.17593</w:t>
                  </w:r>
                </w:p>
              </w:tc>
              <w:tc>
                <w:tcPr/>
                <w:p>
                  <w:pPr>
                    <w:pStyle w:val="Compact"/>
                    <w:jc w:val="right"/>
                    <w:jc w:val="center"/>
                  </w:pPr>
                  <w:r>
                    <w:t xml:space="preserve">64.0411616</w:t>
                  </w:r>
                </w:p>
              </w:tc>
              <w:tc>
                <w:tcPr/>
                <w:p>
                  <w:pPr>
                    <w:pStyle w:val="Compact"/>
                    <w:jc w:val="right"/>
                    <w:jc w:val="center"/>
                  </w:pPr>
                  <w:r>
                    <w:t xml:space="preserve">0.0000000</w:t>
                  </w:r>
                </w:p>
              </w:tc>
            </w:tr>
            <w:tr>
              <w:tc>
                <w:tcPr/>
                <w:p>
                  <w:pPr>
                    <w:pStyle w:val="Compact"/>
                    <w:jc w:val="left"/>
                    <w:jc w:val="center"/>
                  </w:pPr>
                  <w:r>
                    <w:t xml:space="preserve">Treatment × stage</w:t>
                  </w:r>
                </w:p>
              </w:tc>
              <w:tc>
                <w:tcPr/>
                <w:p>
                  <w:pPr>
                    <w:pStyle w:val="Compact"/>
                    <w:jc w:val="right"/>
                    <w:jc w:val="center"/>
                  </w:pPr>
                  <w:r>
                    <w:t xml:space="preserve">6</w:t>
                  </w:r>
                </w:p>
              </w:tc>
              <w:tc>
                <w:tcPr/>
                <w:p>
                  <w:pPr>
                    <w:pStyle w:val="Compact"/>
                    <w:jc w:val="right"/>
                    <w:jc w:val="center"/>
                  </w:pPr>
                  <w:r>
                    <w:t xml:space="preserve">125.87037</w:t>
                  </w:r>
                </w:p>
              </w:tc>
              <w:tc>
                <w:tcPr/>
                <w:p>
                  <w:pPr>
                    <w:pStyle w:val="Compact"/>
                    <w:jc w:val="right"/>
                    <w:jc w:val="center"/>
                  </w:pPr>
                  <w:r>
                    <w:t xml:space="preserve">20.97840</w:t>
                  </w:r>
                </w:p>
              </w:tc>
              <w:tc>
                <w:tcPr/>
                <w:p>
                  <w:pPr>
                    <w:pStyle w:val="Compact"/>
                    <w:jc w:val="right"/>
                    <w:jc w:val="center"/>
                  </w:pPr>
                  <w:r>
                    <w:t xml:space="preserve">0.5721380</w:t>
                  </w:r>
                </w:p>
              </w:tc>
              <w:tc>
                <w:tcPr/>
                <w:p>
                  <w:pPr>
                    <w:pStyle w:val="Compact"/>
                    <w:jc w:val="right"/>
                    <w:jc w:val="center"/>
                  </w:pPr>
                  <w:r>
                    <w:t xml:space="preserve">0.7516086</w:t>
                  </w:r>
                </w:p>
              </w:tc>
            </w:tr>
            <w:tr>
              <w:tc>
                <w:tcPr/>
                <w:p>
                  <w:pPr>
                    <w:pStyle w:val="Compact"/>
                    <w:jc w:val="left"/>
                    <w:jc w:val="center"/>
                  </w:pPr>
                  <w:r>
                    <w:t xml:space="preserve">Residuals</w:t>
                  </w:r>
                </w:p>
              </w:tc>
              <w:tc>
                <w:tcPr/>
                <w:p>
                  <w:pPr>
                    <w:pStyle w:val="Compact"/>
                    <w:jc w:val="right"/>
                    <w:jc w:val="center"/>
                  </w:pPr>
                  <w:r>
                    <w:t xml:space="preserve">96</w:t>
                  </w:r>
                </w:p>
              </w:tc>
              <w:tc>
                <w:tcPr/>
                <w:p>
                  <w:pPr>
                    <w:pStyle w:val="Compact"/>
                    <w:jc w:val="right"/>
                    <w:jc w:val="center"/>
                  </w:pPr>
                  <w:r>
                    <w:t xml:space="preserve">3520.00000</w:t>
                  </w:r>
                </w:p>
              </w:tc>
              <w:tc>
                <w:tcPr/>
                <w:p>
                  <w:pPr>
                    <w:pStyle w:val="Compact"/>
                    <w:jc w:val="right"/>
                    <w:jc w:val="center"/>
                  </w:pPr>
                  <w:r>
                    <w:t xml:space="preserve">36.66667</w:t>
                  </w:r>
                </w:p>
              </w:tc>
              <w:tc>
                <w:tcPr/>
                <w:p>
                  <w:pPr>
                    <w:pStyle w:val="Compact"/>
                    <w:jc w:val="right"/>
                    <w:jc w:val="center"/>
                  </w:pPr>
                  <w:r>
                    <w:t xml:space="preserve">NA</w:t>
                  </w:r>
                </w:p>
              </w:tc>
              <w:tc>
                <w:tcPr/>
                <w:p>
                  <w:pPr>
                    <w:pStyle w:val="Compact"/>
                    <w:jc w:val="right"/>
                    <w:jc w:val="center"/>
                  </w:pPr>
                  <w:r>
                    <w:t xml:space="preserve">NA</w:t>
                  </w:r>
                </w:p>
              </w:tc>
            </w:tr>
          </w:tbl>
          <w:bookmarkEnd w:id="131"/>
          <w:p/>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32" w:name="tbl-timing-stage"/>
          <w:p>
            <w:pPr>
              <w:jc w:val="center"/>
            </w:pPr>
            <w:pPr>
              <w:jc w:val="left"/>
              <w:spacing w:before="200"/>
              <w:pStyle w:val="ImageCaption"/>
            </w:pPr>
            <w:r>
              <w:t xml:space="preserve">Table 3: Multivariate and univariate results of embryo developmental timing stage composition</w:t>
            </w:r>
          </w:p>
          <w:tbl>
            <w:tblPr>
              <w:tblStyle w:val="Table"/>
              <w:tblW w:type="pct" w:w="5000"/>
              <w:tblLayout w:type="fixed"/>
              <w:tblLook w:firstRow="1" w:lastRow="0" w:firstColumn="0" w:lastColumn="0" w:noHBand="0" w:noVBand="0" w:val="0020"/>
            </w:tblPr>
            <w:tblGrid>
              <w:gridCol w:w="1047"/>
              <w:gridCol w:w="261"/>
              <w:gridCol w:w="654"/>
              <w:gridCol w:w="589"/>
              <w:gridCol w:w="523"/>
              <w:gridCol w:w="589"/>
              <w:gridCol w:w="458"/>
              <w:gridCol w:w="589"/>
              <w:gridCol w:w="458"/>
              <w:gridCol w:w="589"/>
              <w:gridCol w:w="458"/>
              <w:gridCol w:w="589"/>
              <w:gridCol w:w="523"/>
              <w:gridCol w:w="589"/>
            </w:tblGrid>
            <w:tr>
              <w:trPr>
                <w:tblHeader w:val="on"/>
              </w:trPr>
              <w:tc>
                <w:tcPr/>
                <w:p>
                  <w:pPr>
                    <w:pStyle w:val="Compact"/>
                    <w:jc w:val="left"/>
                    <w:jc w:val="center"/>
                  </w:pPr>
                  <w:r>
                    <w:t xml:space="preserve">Effect</w:t>
                  </w:r>
                </w:p>
              </w:tc>
              <w:tc>
                <w:tcPr/>
                <w:p>
                  <w:pPr>
                    <w:pStyle w:val="Compact"/>
                    <w:jc w:val="center"/>
                    <w:jc w:val="center"/>
                  </w:pPr>
                  <w:r>
                    <w:t xml:space="preserve">Df</w:t>
                  </w:r>
                </w:p>
              </w:tc>
              <w:tc>
                <w:tcPr/>
                <w:p>
                  <w:pPr>
                    <w:pStyle w:val="Compact"/>
                    <w:jc w:val="center"/>
                    <w:jc w:val="center"/>
                  </w:pPr>
                  <w:r>
                    <w:t xml:space="preserve">Deviance</w:t>
                  </w:r>
                </w:p>
              </w:tc>
              <w:tc>
                <w:tcPr/>
                <w:p>
                  <w:pPr>
                    <w:pStyle w:val="Compact"/>
                    <w:jc w:val="center"/>
                    <w:jc w:val="center"/>
                  </w:pPr>
                  <w:r>
                    <w:t xml:space="preserve">p-value</w:t>
                  </w:r>
                </w:p>
              </w:tc>
              <w:tc>
                <w:tcPr/>
                <w:p>
                  <w:pPr>
                    <w:pStyle w:val="Compact"/>
                    <w:jc w:val="center"/>
                    <w:jc w:val="center"/>
                  </w:pPr>
                  <w:r>
                    <w:t xml:space="preserve">Dev</w:t>
                  </w:r>
                </w:p>
              </w:tc>
              <w:tc>
                <w:tcPr/>
                <w:p>
                  <w:pPr>
                    <w:pStyle w:val="Compact"/>
                    <w:jc w:val="center"/>
                    <w:jc w:val="center"/>
                  </w:pPr>
                  <w:r>
                    <w:t xml:space="preserve">p</w:t>
                  </w:r>
                </w:p>
              </w:tc>
              <w:tc>
                <w:tcPr/>
                <w:p>
                  <w:pPr>
                    <w:pStyle w:val="Compact"/>
                    <w:jc w:val="center"/>
                    <w:jc w:val="center"/>
                  </w:pPr>
                  <w:r>
                    <w:t xml:space="preserve">Dev</w:t>
                  </w:r>
                </w:p>
              </w:tc>
              <w:tc>
                <w:tcPr/>
                <w:p>
                  <w:pPr>
                    <w:pStyle w:val="Compact"/>
                    <w:jc w:val="center"/>
                    <w:jc w:val="center"/>
                  </w:pPr>
                  <w:r>
                    <w:t xml:space="preserve">p</w:t>
                  </w:r>
                </w:p>
              </w:tc>
              <w:tc>
                <w:tcPr/>
                <w:p>
                  <w:pPr>
                    <w:pStyle w:val="Compact"/>
                    <w:jc w:val="center"/>
                    <w:jc w:val="center"/>
                  </w:pPr>
                  <w:r>
                    <w:t xml:space="preserve">Dev</w:t>
                  </w:r>
                </w:p>
              </w:tc>
              <w:tc>
                <w:tcPr/>
                <w:p>
                  <w:pPr>
                    <w:pStyle w:val="Compact"/>
                    <w:jc w:val="center"/>
                    <w:jc w:val="center"/>
                  </w:pPr>
                  <w:r>
                    <w:t xml:space="preserve">p</w:t>
                  </w:r>
                </w:p>
              </w:tc>
              <w:tc>
                <w:tcPr/>
                <w:p>
                  <w:pPr>
                    <w:pStyle w:val="Compact"/>
                    <w:jc w:val="left"/>
                    <w:jc w:val="center"/>
                  </w:pPr>
                  <w:r>
                    <w:t xml:space="preserve">Dev</w:t>
                  </w:r>
                </w:p>
              </w:tc>
              <w:tc>
                <w:tcPr/>
                <w:p>
                  <w:pPr>
                    <w:pStyle w:val="Compact"/>
                    <w:jc w:val="center"/>
                    <w:jc w:val="center"/>
                  </w:pPr>
                  <w:r>
                    <w:t xml:space="preserve">p</w:t>
                  </w:r>
                </w:p>
              </w:tc>
              <w:tc>
                <w:tcPr/>
                <w:p>
                  <w:pPr>
                    <w:pStyle w:val="Compact"/>
                    <w:jc w:val="center"/>
                    <w:jc w:val="center"/>
                  </w:pPr>
                  <w:r>
                    <w:t xml:space="preserve">Dev</w:t>
                  </w:r>
                </w:p>
              </w:tc>
              <w:tc>
                <w:tcPr/>
                <w:p>
                  <w:pPr>
                    <w:pStyle w:val="Compact"/>
                    <w:jc w:val="center"/>
                    <w:jc w:val="center"/>
                  </w:pPr>
                  <w:r>
                    <w:t xml:space="preserve">p</w:t>
                  </w:r>
                </w:p>
              </w:tc>
            </w:tr>
            <w:tr>
              <w:tc>
                <w:tcPr/>
                <w:p>
                  <w:pPr>
                    <w:pStyle w:val="Compact"/>
                    <w:jc w:val="left"/>
                    <w:jc w:val="center"/>
                  </w:pPr>
                  <w:r>
                    <w:t xml:space="preserve">Treatment</w:t>
                  </w:r>
                </w:p>
              </w:tc>
              <w:tc>
                <w:tcPr/>
                <w:p>
                  <w:pPr>
                    <w:pStyle w:val="Compact"/>
                    <w:jc w:val="center"/>
                    <w:jc w:val="center"/>
                  </w:pPr>
                  <w:r>
                    <w:t xml:space="preserve">3</w:t>
                  </w:r>
                </w:p>
              </w:tc>
              <w:tc>
                <w:tcPr/>
                <w:p>
                  <w:pPr>
                    <w:pStyle w:val="Compact"/>
                    <w:jc w:val="center"/>
                    <w:jc w:val="center"/>
                  </w:pPr>
                  <w:r>
                    <w:t xml:space="preserve">1.50</w:t>
                  </w:r>
                </w:p>
              </w:tc>
              <w:tc>
                <w:tcPr/>
                <w:p>
                  <w:pPr>
                    <w:pStyle w:val="Compact"/>
                    <w:jc w:val="center"/>
                    <w:jc w:val="center"/>
                  </w:pPr>
                  <w:r>
                    <w:t xml:space="preserve">0.998</w:t>
                  </w:r>
                </w:p>
              </w:tc>
              <w:tc>
                <w:tcPr/>
                <w:p>
                  <w:pPr>
                    <w:pStyle w:val="Compact"/>
                    <w:jc w:val="center"/>
                    <w:jc w:val="center"/>
                  </w:pPr>
                  <w:r>
                    <w:t xml:space="preserve">0.14</w:t>
                  </w:r>
                </w:p>
              </w:tc>
              <w:tc>
                <w:tcPr/>
                <w:p>
                  <w:pPr>
                    <w:pStyle w:val="Compact"/>
                    <w:jc w:val="center"/>
                    <w:jc w:val="center"/>
                  </w:pPr>
                  <w:r>
                    <w:t xml:space="preserve">0.999</w:t>
                  </w:r>
                </w:p>
              </w:tc>
              <w:tc>
                <w:tcPr/>
                <w:p>
                  <w:pPr>
                    <w:pStyle w:val="Compact"/>
                    <w:jc w:val="center"/>
                    <w:jc w:val="center"/>
                  </w:pPr>
                  <w:r>
                    <w:t xml:space="preserve">0.52</w:t>
                  </w:r>
                </w:p>
              </w:tc>
              <w:tc>
                <w:tcPr/>
                <w:p>
                  <w:pPr>
                    <w:pStyle w:val="Compact"/>
                    <w:jc w:val="center"/>
                    <w:jc w:val="center"/>
                  </w:pPr>
                  <w:r>
                    <w:t xml:space="preserve">0.999</w:t>
                  </w:r>
                </w:p>
              </w:tc>
              <w:tc>
                <w:tcPr/>
                <w:p>
                  <w:pPr>
                    <w:pStyle w:val="Compact"/>
                    <w:jc w:val="center"/>
                    <w:jc w:val="center"/>
                  </w:pPr>
                  <w:r>
                    <w:t xml:space="preserve">0.36</w:t>
                  </w:r>
                </w:p>
              </w:tc>
              <w:tc>
                <w:tcPr/>
                <w:p>
                  <w:pPr>
                    <w:pStyle w:val="Compact"/>
                    <w:jc w:val="center"/>
                    <w:jc w:val="center"/>
                  </w:pPr>
                  <w:r>
                    <w:t xml:space="preserve">0.999</w:t>
                  </w:r>
                </w:p>
              </w:tc>
              <w:tc>
                <w:tcPr/>
                <w:p>
                  <w:pPr>
                    <w:pStyle w:val="Compact"/>
                    <w:jc w:val="left"/>
                    <w:jc w:val="center"/>
                  </w:pPr>
                  <w:r>
                    <w:t xml:space="preserve">0.03</w:t>
                  </w:r>
                </w:p>
              </w:tc>
              <w:tc>
                <w:tcPr/>
                <w:p>
                  <w:pPr>
                    <w:pStyle w:val="Compact"/>
                    <w:jc w:val="center"/>
                    <w:jc w:val="center"/>
                  </w:pPr>
                  <w:r>
                    <w:t xml:space="preserve">0.999</w:t>
                  </w:r>
                </w:p>
              </w:tc>
              <w:tc>
                <w:tcPr/>
                <w:p>
                  <w:pPr>
                    <w:pStyle w:val="Compact"/>
                    <w:jc w:val="center"/>
                    <w:jc w:val="center"/>
                  </w:pPr>
                  <w:r>
                    <w:t xml:space="preserve">0.46</w:t>
                  </w:r>
                </w:p>
              </w:tc>
              <w:tc>
                <w:tcPr/>
                <w:p>
                  <w:pPr>
                    <w:pStyle w:val="Compact"/>
                    <w:jc w:val="center"/>
                    <w:jc w:val="center"/>
                  </w:pPr>
                  <w:r>
                    <w:t xml:space="preserve">0.999</w:t>
                  </w:r>
                </w:p>
              </w:tc>
            </w:tr>
            <w:tr>
              <w:tc>
                <w:tcPr/>
                <w:p>
                  <w:pPr>
                    <w:pStyle w:val="Compact"/>
                    <w:jc w:val="left"/>
                    <w:jc w:val="center"/>
                  </w:pPr>
                  <w:r>
                    <w:t xml:space="preserve">hpf</w:t>
                  </w:r>
                </w:p>
              </w:tc>
              <w:tc>
                <w:tcPr/>
                <w:p>
                  <w:pPr>
                    <w:pStyle w:val="Compact"/>
                    <w:jc w:val="center"/>
                    <w:jc w:val="center"/>
                  </w:pPr>
                  <w:r>
                    <w:t xml:space="preserve">2</w:t>
                  </w:r>
                </w:p>
              </w:tc>
              <w:tc>
                <w:tcPr/>
                <w:p>
                  <w:pPr>
                    <w:pStyle w:val="Compact"/>
                    <w:jc w:val="center"/>
                    <w:jc w:val="center"/>
                  </w:pPr>
                  <w:r>
                    <w:t xml:space="preserve">568.00</w:t>
                  </w:r>
                </w:p>
              </w:tc>
              <w:tc>
                <w:tcPr/>
                <w:p>
                  <w:pPr>
                    <w:pStyle w:val="Compact"/>
                    <w:jc w:val="center"/>
                    <w:jc w:val="center"/>
                  </w:pPr>
                  <w:r>
                    <w:t xml:space="preserve">0.001**</w:t>
                  </w:r>
                </w:p>
              </w:tc>
              <w:tc>
                <w:tcPr/>
                <w:p>
                  <w:pPr>
                    <w:pStyle w:val="Compact"/>
                    <w:jc w:val="center"/>
                    <w:jc w:val="center"/>
                  </w:pPr>
                  <w:r>
                    <w:t xml:space="preserve">111.98</w:t>
                  </w:r>
                </w:p>
              </w:tc>
              <w:tc>
                <w:tcPr/>
                <w:p>
                  <w:pPr>
                    <w:pStyle w:val="Compact"/>
                    <w:jc w:val="center"/>
                    <w:jc w:val="center"/>
                  </w:pPr>
                  <w:r>
                    <w:t xml:space="preserve">0.001**</w:t>
                  </w:r>
                </w:p>
              </w:tc>
              <w:tc>
                <w:tcPr/>
                <w:p>
                  <w:pPr>
                    <w:pStyle w:val="Compact"/>
                    <w:jc w:val="center"/>
                    <w:jc w:val="center"/>
                  </w:pPr>
                  <w:r>
                    <w:t xml:space="preserve">76.46</w:t>
                  </w:r>
                </w:p>
              </w:tc>
              <w:tc>
                <w:tcPr/>
                <w:p>
                  <w:pPr>
                    <w:pStyle w:val="Compact"/>
                    <w:jc w:val="center"/>
                    <w:jc w:val="center"/>
                  </w:pPr>
                  <w:r>
                    <w:t xml:space="preserve">0.001**</w:t>
                  </w:r>
                </w:p>
              </w:tc>
              <w:tc>
                <w:tcPr/>
                <w:p>
                  <w:pPr>
                    <w:pStyle w:val="Compact"/>
                    <w:jc w:val="center"/>
                    <w:jc w:val="center"/>
                  </w:pPr>
                  <w:r>
                    <w:t xml:space="preserve">71.99</w:t>
                  </w:r>
                </w:p>
              </w:tc>
              <w:tc>
                <w:tcPr/>
                <w:p>
                  <w:pPr>
                    <w:pStyle w:val="Compact"/>
                    <w:jc w:val="center"/>
                    <w:jc w:val="center"/>
                  </w:pPr>
                  <w:r>
                    <w:t xml:space="preserve">0.001**</w:t>
                  </w:r>
                </w:p>
              </w:tc>
              <w:tc>
                <w:tcPr/>
                <w:p>
                  <w:pPr>
                    <w:pStyle w:val="Compact"/>
                    <w:jc w:val="left"/>
                    <w:jc w:val="center"/>
                  </w:pPr>
                  <w:r>
                    <w:t xml:space="preserve">126.17</w:t>
                  </w:r>
                </w:p>
              </w:tc>
              <w:tc>
                <w:tcPr/>
                <w:p>
                  <w:pPr>
                    <w:pStyle w:val="Compact"/>
                    <w:jc w:val="center"/>
                    <w:jc w:val="center"/>
                  </w:pPr>
                  <w:r>
                    <w:t xml:space="preserve">0.001**</w:t>
                  </w:r>
                </w:p>
              </w:tc>
              <w:tc>
                <w:tcPr/>
                <w:p>
                  <w:pPr>
                    <w:pStyle w:val="Compact"/>
                    <w:jc w:val="center"/>
                    <w:jc w:val="center"/>
                  </w:pPr>
                  <w:r>
                    <w:t xml:space="preserve">181.39</w:t>
                  </w:r>
                </w:p>
              </w:tc>
              <w:tc>
                <w:tcPr/>
                <w:p>
                  <w:pPr>
                    <w:pStyle w:val="Compact"/>
                    <w:jc w:val="center"/>
                    <w:jc w:val="center"/>
                  </w:pPr>
                  <w:r>
                    <w:t xml:space="preserve">0.001**</w:t>
                  </w:r>
                </w:p>
              </w:tc>
            </w:tr>
            <w:tr>
              <w:tc>
                <w:tcPr/>
                <w:p>
                  <w:pPr>
                    <w:pStyle w:val="Compact"/>
                    <w:jc w:val="left"/>
                    <w:jc w:val="center"/>
                  </w:pPr>
                  <w:r>
                    <w:t xml:space="preserve">Treatment × hpf</w:t>
                  </w:r>
                </w:p>
              </w:tc>
              <w:tc>
                <w:tcPr/>
                <w:p>
                  <w:pPr>
                    <w:pStyle w:val="Compact"/>
                    <w:jc w:val="center"/>
                    <w:jc w:val="center"/>
                  </w:pPr>
                  <w:r>
                    <w:t xml:space="preserve">6</w:t>
                  </w:r>
                </w:p>
              </w:tc>
              <w:tc>
                <w:tcPr/>
                <w:p>
                  <w:pPr>
                    <w:pStyle w:val="Compact"/>
                    <w:jc w:val="center"/>
                    <w:jc w:val="center"/>
                  </w:pPr>
                  <w:r>
                    <w:t xml:space="preserve">40.30</w:t>
                  </w:r>
                </w:p>
              </w:tc>
              <w:tc>
                <w:tcPr/>
                <w:p>
                  <w:pPr>
                    <w:pStyle w:val="Compact"/>
                    <w:jc w:val="center"/>
                    <w:jc w:val="center"/>
                  </w:pPr>
                  <w:r>
                    <w:t xml:space="preserve">0.009**</w:t>
                  </w:r>
                </w:p>
              </w:tc>
              <w:tc>
                <w:tcPr/>
                <w:p>
                  <w:pPr>
                    <w:pStyle w:val="Compact"/>
                    <w:jc w:val="center"/>
                    <w:jc w:val="center"/>
                  </w:pPr>
                  <w:r>
                    <w:t xml:space="preserve">16.53</w:t>
                  </w:r>
                </w:p>
              </w:tc>
              <w:tc>
                <w:tcPr/>
                <w:p>
                  <w:pPr>
                    <w:pStyle w:val="Compact"/>
                    <w:jc w:val="center"/>
                    <w:jc w:val="center"/>
                  </w:pPr>
                  <w:r>
                    <w:t xml:space="preserve">0.108</w:t>
                  </w:r>
                </w:p>
              </w:tc>
              <w:tc>
                <w:tcPr/>
                <w:p>
                  <w:pPr>
                    <w:pStyle w:val="Compact"/>
                    <w:jc w:val="center"/>
                    <w:jc w:val="center"/>
                  </w:pPr>
                  <w:r>
                    <w:t xml:space="preserve">2.76</w:t>
                  </w:r>
                </w:p>
              </w:tc>
              <w:tc>
                <w:tcPr/>
                <w:p>
                  <w:pPr>
                    <w:pStyle w:val="Compact"/>
                    <w:jc w:val="center"/>
                    <w:jc w:val="center"/>
                  </w:pPr>
                  <w:r>
                    <w:t xml:space="preserve">0.144</w:t>
                  </w:r>
                </w:p>
              </w:tc>
              <w:tc>
                <w:tcPr/>
                <w:p>
                  <w:pPr>
                    <w:pStyle w:val="Compact"/>
                    <w:jc w:val="center"/>
                    <w:jc w:val="center"/>
                  </w:pPr>
                  <w:r>
                    <w:t xml:space="preserve">9.42</w:t>
                  </w:r>
                </w:p>
              </w:tc>
              <w:tc>
                <w:tcPr/>
                <w:p>
                  <w:pPr>
                    <w:pStyle w:val="Compact"/>
                    <w:jc w:val="center"/>
                    <w:jc w:val="center"/>
                  </w:pPr>
                  <w:r>
                    <w:t xml:space="preserve">0.108</w:t>
                  </w:r>
                </w:p>
              </w:tc>
              <w:tc>
                <w:tcPr/>
                <w:p>
                  <w:pPr>
                    <w:pStyle w:val="Compact"/>
                    <w:jc w:val="left"/>
                    <w:jc w:val="center"/>
                  </w:pPr>
                  <w:r>
                    <w:t xml:space="preserve">11.59</w:t>
                  </w:r>
                </w:p>
              </w:tc>
              <w:tc>
                <w:tcPr/>
                <w:p>
                  <w:pPr>
                    <w:pStyle w:val="Compact"/>
                    <w:jc w:val="center"/>
                    <w:jc w:val="center"/>
                  </w:pPr>
                  <w:r>
                    <w:t xml:space="preserve">0.108</w:t>
                  </w:r>
                </w:p>
              </w:tc>
              <w:tc>
                <w:tcPr/>
                <w:p>
                  <w:pPr>
                    <w:pStyle w:val="Compact"/>
                    <w:jc w:val="center"/>
                    <w:jc w:val="center"/>
                  </w:pPr>
                  <w:r>
                    <w:t xml:space="preserve">0.00</w:t>
                  </w:r>
                </w:p>
              </w:tc>
              <w:tc>
                <w:tcPr/>
                <w:p>
                  <w:pPr>
                    <w:pStyle w:val="Compact"/>
                    <w:jc w:val="center"/>
                    <w:jc w:val="center"/>
                  </w:pPr>
                  <w:r>
                    <w:t xml:space="preserve">0.791</w:t>
                  </w:r>
                </w:p>
              </w:tc>
            </w:tr>
          </w:tbl>
          <w:bookmarkEnd w:id="132"/>
          <w:p/>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33" w:name="tbl-morph-status"/>
          <w:p>
            <w:pPr>
              <w:jc w:val="center"/>
            </w:pPr>
            <w:pPr>
              <w:jc w:val="left"/>
              <w:spacing w:before="200"/>
              <w:pStyle w:val="ImageCaption"/>
            </w:pPr>
            <w:r>
              <w:t xml:space="preserve">Table 4: Multivariate and univariate results of embryo morphological abnormality status</w:t>
            </w:r>
          </w:p>
          <w:tbl>
            <w:tblPr>
              <w:tblStyle w:val="Table"/>
              <w:tblW w:type="pct" w:w="5000"/>
              <w:tblLayout w:type="fixed"/>
              <w:tblLook w:firstRow="1" w:lastRow="0" w:firstColumn="0" w:lastColumn="0" w:noHBand="0" w:noVBand="0" w:val="0020"/>
            </w:tblPr>
            <w:tblGrid>
              <w:gridCol w:w="1508"/>
              <w:gridCol w:w="377"/>
              <w:gridCol w:w="942"/>
              <w:gridCol w:w="848"/>
              <w:gridCol w:w="660"/>
              <w:gridCol w:w="848"/>
              <w:gridCol w:w="660"/>
              <w:gridCol w:w="848"/>
              <w:gridCol w:w="565"/>
              <w:gridCol w:w="660"/>
            </w:tblGrid>
            <w:tr>
              <w:trPr>
                <w:tblHeader w:val="on"/>
              </w:trPr>
              <w:tc>
                <w:tcPr/>
                <w:p>
                  <w:pPr>
                    <w:pStyle w:val="Compact"/>
                    <w:jc w:val="left"/>
                    <w:jc w:val="center"/>
                  </w:pPr>
                  <w:r>
                    <w:t xml:space="preserve">Effect</w:t>
                  </w:r>
                </w:p>
              </w:tc>
              <w:tc>
                <w:tcPr/>
                <w:p>
                  <w:pPr>
                    <w:pStyle w:val="Compact"/>
                    <w:jc w:val="center"/>
                    <w:jc w:val="center"/>
                  </w:pPr>
                  <w:r>
                    <w:t xml:space="preserve">Df</w:t>
                  </w:r>
                </w:p>
              </w:tc>
              <w:tc>
                <w:tcPr/>
                <w:p>
                  <w:pPr>
                    <w:pStyle w:val="Compact"/>
                    <w:jc w:val="center"/>
                    <w:jc w:val="center"/>
                  </w:pPr>
                  <w:r>
                    <w:t xml:space="preserve">Deviance</w:t>
                  </w:r>
                </w:p>
              </w:tc>
              <w:tc>
                <w:tcPr/>
                <w:p>
                  <w:pPr>
                    <w:pStyle w:val="Compact"/>
                    <w:jc w:val="center"/>
                    <w:jc w:val="center"/>
                  </w:pPr>
                  <w:r>
                    <w:t xml:space="preserve">p-value</w:t>
                  </w:r>
                </w:p>
              </w:tc>
              <w:tc>
                <w:tcPr/>
                <w:p>
                  <w:pPr>
                    <w:pStyle w:val="Compact"/>
                    <w:jc w:val="center"/>
                    <w:jc w:val="center"/>
                  </w:pPr>
                  <w:r>
                    <w:t xml:space="preserve">Dev</w:t>
                  </w:r>
                </w:p>
              </w:tc>
              <w:tc>
                <w:tcPr/>
                <w:p>
                  <w:pPr>
                    <w:pStyle w:val="Compact"/>
                    <w:jc w:val="center"/>
                    <w:jc w:val="center"/>
                  </w:pPr>
                  <w:r>
                    <w:t xml:space="preserve">p</w:t>
                  </w:r>
                </w:p>
              </w:tc>
              <w:tc>
                <w:tcPr/>
                <w:p>
                  <w:pPr>
                    <w:pStyle w:val="Compact"/>
                    <w:jc w:val="center"/>
                    <w:jc w:val="center"/>
                  </w:pPr>
                  <w:r>
                    <w:t xml:space="preserve">Dev</w:t>
                  </w:r>
                </w:p>
              </w:tc>
              <w:tc>
                <w:tcPr/>
                <w:p>
                  <w:pPr>
                    <w:pStyle w:val="Compact"/>
                    <w:jc w:val="center"/>
                    <w:jc w:val="center"/>
                  </w:pPr>
                  <w:r>
                    <w:t xml:space="preserve">p</w:t>
                  </w:r>
                </w:p>
              </w:tc>
              <w:tc>
                <w:tcPr/>
                <w:p>
                  <w:pPr>
                    <w:pStyle w:val="Compact"/>
                    <w:jc w:val="center"/>
                    <w:jc w:val="center"/>
                  </w:pPr>
                  <w:r>
                    <w:t xml:space="preserve">Dev</w:t>
                  </w:r>
                </w:p>
              </w:tc>
              <w:tc>
                <w:tcPr/>
                <w:p>
                  <w:pPr>
                    <w:pStyle w:val="Compact"/>
                    <w:jc w:val="center"/>
                    <w:jc w:val="center"/>
                  </w:pPr>
                  <w:r>
                    <w:t xml:space="preserve">p</w:t>
                  </w:r>
                </w:p>
              </w:tc>
            </w:tr>
            <w:tr>
              <w:tc>
                <w:tcPr/>
                <w:p>
                  <w:pPr>
                    <w:pStyle w:val="Compact"/>
                    <w:jc w:val="left"/>
                    <w:jc w:val="center"/>
                  </w:pPr>
                  <w:r>
                    <w:t xml:space="preserve">Treatment</w:t>
                  </w:r>
                </w:p>
              </w:tc>
              <w:tc>
                <w:tcPr/>
                <w:p>
                  <w:pPr>
                    <w:pStyle w:val="Compact"/>
                    <w:jc w:val="center"/>
                    <w:jc w:val="center"/>
                  </w:pPr>
                  <w:r>
                    <w:t xml:space="preserve">3</w:t>
                  </w:r>
                </w:p>
              </w:tc>
              <w:tc>
                <w:tcPr/>
                <w:p>
                  <w:pPr>
                    <w:pStyle w:val="Compact"/>
                    <w:jc w:val="center"/>
                    <w:jc w:val="center"/>
                  </w:pPr>
                  <w:r>
                    <w:t xml:space="preserve">5.47</w:t>
                  </w:r>
                </w:p>
              </w:tc>
              <w:tc>
                <w:tcPr/>
                <w:p>
                  <w:pPr>
                    <w:pStyle w:val="Compact"/>
                    <w:jc w:val="center"/>
                    <w:jc w:val="center"/>
                  </w:pPr>
                  <w:r>
                    <w:t xml:space="preserve">0.701</w:t>
                  </w:r>
                </w:p>
              </w:tc>
              <w:tc>
                <w:tcPr/>
                <w:p>
                  <w:pPr>
                    <w:pStyle w:val="Compact"/>
                    <w:jc w:val="center"/>
                    <w:jc w:val="center"/>
                  </w:pPr>
                  <w:r>
                    <w:t xml:space="preserve">0.37</w:t>
                  </w:r>
                </w:p>
              </w:tc>
              <w:tc>
                <w:tcPr/>
                <w:p>
                  <w:pPr>
                    <w:pStyle w:val="Compact"/>
                    <w:jc w:val="center"/>
                    <w:jc w:val="center"/>
                  </w:pPr>
                  <w:r>
                    <w:t xml:space="preserve">0.949</w:t>
                  </w:r>
                </w:p>
              </w:tc>
              <w:tc>
                <w:tcPr/>
                <w:p>
                  <w:pPr>
                    <w:pStyle w:val="Compact"/>
                    <w:jc w:val="center"/>
                    <w:jc w:val="center"/>
                  </w:pPr>
                  <w:r>
                    <w:t xml:space="preserve">0.86</w:t>
                  </w:r>
                </w:p>
              </w:tc>
              <w:tc>
                <w:tcPr/>
                <w:p>
                  <w:pPr>
                    <w:pStyle w:val="Compact"/>
                    <w:jc w:val="center"/>
                    <w:jc w:val="center"/>
                  </w:pPr>
                  <w:r>
                    <w:t xml:space="preserve">0.949</w:t>
                  </w:r>
                </w:p>
              </w:tc>
              <w:tc>
                <w:tcPr/>
                <w:p>
                  <w:pPr>
                    <w:pStyle w:val="Compact"/>
                    <w:jc w:val="center"/>
                    <w:jc w:val="center"/>
                  </w:pPr>
                  <w:r>
                    <w:t xml:space="preserve">4.24</w:t>
                  </w:r>
                </w:p>
              </w:tc>
              <w:tc>
                <w:tcPr/>
                <w:p>
                  <w:pPr>
                    <w:pStyle w:val="Compact"/>
                    <w:jc w:val="center"/>
                    <w:jc w:val="center"/>
                  </w:pPr>
                  <w:r>
                    <w:t xml:space="preserve">0.470</w:t>
                  </w:r>
                </w:p>
              </w:tc>
            </w:tr>
            <w:tr>
              <w:tc>
                <w:tcPr/>
                <w:p>
                  <w:pPr>
                    <w:pStyle w:val="Compact"/>
                    <w:jc w:val="left"/>
                    <w:jc w:val="center"/>
                  </w:pPr>
                  <w:r>
                    <w:t xml:space="preserve">hpf</w:t>
                  </w:r>
                </w:p>
              </w:tc>
              <w:tc>
                <w:tcPr/>
                <w:p>
                  <w:pPr>
                    <w:pStyle w:val="Compact"/>
                    <w:jc w:val="center"/>
                    <w:jc w:val="center"/>
                  </w:pPr>
                  <w:r>
                    <w:t xml:space="preserve">2</w:t>
                  </w:r>
                </w:p>
              </w:tc>
              <w:tc>
                <w:tcPr/>
                <w:p>
                  <w:pPr>
                    <w:pStyle w:val="Compact"/>
                    <w:jc w:val="center"/>
                    <w:jc w:val="center"/>
                  </w:pPr>
                  <w:r>
                    <w:t xml:space="preserve">90.91</w:t>
                  </w:r>
                </w:p>
              </w:tc>
              <w:tc>
                <w:tcPr/>
                <w:p>
                  <w:pPr>
                    <w:pStyle w:val="Compact"/>
                    <w:jc w:val="center"/>
                    <w:jc w:val="center"/>
                  </w:pPr>
                  <w:r>
                    <w:t xml:space="preserve">0.001**</w:t>
                  </w:r>
                </w:p>
              </w:tc>
              <w:tc>
                <w:tcPr/>
                <w:p>
                  <w:pPr>
                    <w:pStyle w:val="Compact"/>
                    <w:jc w:val="center"/>
                    <w:jc w:val="center"/>
                  </w:pPr>
                  <w:r>
                    <w:t xml:space="preserve">63.75</w:t>
                  </w:r>
                </w:p>
              </w:tc>
              <w:tc>
                <w:tcPr/>
                <w:p>
                  <w:pPr>
                    <w:pStyle w:val="Compact"/>
                    <w:jc w:val="center"/>
                    <w:jc w:val="center"/>
                  </w:pPr>
                  <w:r>
                    <w:t xml:space="preserve">0.001**</w:t>
                  </w:r>
                </w:p>
              </w:tc>
              <w:tc>
                <w:tcPr/>
                <w:p>
                  <w:pPr>
                    <w:pStyle w:val="Compact"/>
                    <w:jc w:val="center"/>
                    <w:jc w:val="center"/>
                  </w:pPr>
                  <w:r>
                    <w:t xml:space="preserve">25.24</w:t>
                  </w:r>
                </w:p>
              </w:tc>
              <w:tc>
                <w:tcPr/>
                <w:p>
                  <w:pPr>
                    <w:pStyle w:val="Compact"/>
                    <w:jc w:val="center"/>
                    <w:jc w:val="center"/>
                  </w:pPr>
                  <w:r>
                    <w:t xml:space="preserve">0.001**</w:t>
                  </w:r>
                </w:p>
              </w:tc>
              <w:tc>
                <w:tcPr/>
                <w:p>
                  <w:pPr>
                    <w:pStyle w:val="Compact"/>
                    <w:jc w:val="center"/>
                    <w:jc w:val="center"/>
                  </w:pPr>
                  <w:r>
                    <w:t xml:space="preserve">1.91</w:t>
                  </w:r>
                </w:p>
              </w:tc>
              <w:tc>
                <w:tcPr/>
                <w:p>
                  <w:pPr>
                    <w:pStyle w:val="Compact"/>
                    <w:jc w:val="center"/>
                    <w:jc w:val="center"/>
                  </w:pPr>
                  <w:r>
                    <w:t xml:space="preserve">0.387</w:t>
                  </w:r>
                </w:p>
              </w:tc>
            </w:tr>
            <w:tr>
              <w:tc>
                <w:tcPr/>
                <w:p>
                  <w:pPr>
                    <w:pStyle w:val="Compact"/>
                    <w:jc w:val="left"/>
                    <w:jc w:val="center"/>
                  </w:pPr>
                  <w:r>
                    <w:t xml:space="preserve">Treatment × hpf</w:t>
                  </w:r>
                </w:p>
              </w:tc>
              <w:tc>
                <w:tcPr/>
                <w:p>
                  <w:pPr>
                    <w:pStyle w:val="Compact"/>
                    <w:jc w:val="center"/>
                    <w:jc w:val="center"/>
                  </w:pPr>
                  <w:r>
                    <w:t xml:space="preserve">6</w:t>
                  </w:r>
                </w:p>
              </w:tc>
              <w:tc>
                <w:tcPr/>
                <w:p>
                  <w:pPr>
                    <w:pStyle w:val="Compact"/>
                    <w:jc w:val="center"/>
                    <w:jc w:val="center"/>
                  </w:pPr>
                  <w:r>
                    <w:t xml:space="preserve">12.12</w:t>
                  </w:r>
                </w:p>
              </w:tc>
              <w:tc>
                <w:tcPr/>
                <w:p>
                  <w:pPr>
                    <w:pStyle w:val="Compact"/>
                    <w:jc w:val="center"/>
                    <w:jc w:val="center"/>
                  </w:pPr>
                  <w:r>
                    <w:t xml:space="preserve">0.886</w:t>
                  </w:r>
                </w:p>
              </w:tc>
              <w:tc>
                <w:tcPr/>
                <w:p>
                  <w:pPr>
                    <w:pStyle w:val="Compact"/>
                    <w:jc w:val="center"/>
                    <w:jc w:val="center"/>
                  </w:pPr>
                  <w:r>
                    <w:t xml:space="preserve">4.69</w:t>
                  </w:r>
                </w:p>
              </w:tc>
              <w:tc>
                <w:tcPr/>
                <w:p>
                  <w:pPr>
                    <w:pStyle w:val="Compact"/>
                    <w:jc w:val="center"/>
                    <w:jc w:val="center"/>
                  </w:pPr>
                  <w:r>
                    <w:t xml:space="preserve">0.870</w:t>
                  </w:r>
                </w:p>
              </w:tc>
              <w:tc>
                <w:tcPr/>
                <w:p>
                  <w:pPr>
                    <w:pStyle w:val="Compact"/>
                    <w:jc w:val="center"/>
                    <w:jc w:val="center"/>
                  </w:pPr>
                  <w:r>
                    <w:t xml:space="preserve">6.14</w:t>
                  </w:r>
                </w:p>
              </w:tc>
              <w:tc>
                <w:tcPr/>
                <w:p>
                  <w:pPr>
                    <w:pStyle w:val="Compact"/>
                    <w:jc w:val="center"/>
                    <w:jc w:val="center"/>
                  </w:pPr>
                  <w:r>
                    <w:t xml:space="preserve">0.854</w:t>
                  </w:r>
                </w:p>
              </w:tc>
              <w:tc>
                <w:tcPr/>
                <w:p>
                  <w:pPr>
                    <w:pStyle w:val="Compact"/>
                    <w:jc w:val="center"/>
                    <w:jc w:val="center"/>
                  </w:pPr>
                  <w:r>
                    <w:t xml:space="preserve">1.29</w:t>
                  </w:r>
                </w:p>
              </w:tc>
              <w:tc>
                <w:tcPr/>
                <w:p>
                  <w:pPr>
                    <w:pStyle w:val="Compact"/>
                    <w:jc w:val="center"/>
                    <w:jc w:val="center"/>
                  </w:pPr>
                  <w:r>
                    <w:t xml:space="preserve">0.982</w:t>
                  </w:r>
                </w:p>
              </w:tc>
            </w:tr>
          </w:tbl>
          <w:bookmarkEnd w:id="133"/>
          <w:p/>
        </w:tc>
      </w:tr>
    </w:tbl>
    <w:bookmarkStart w:id="342" w:name="refs"/>
    <w:bookmarkStart w:id="135" w:name="ref-Aguilar2017-ye"/>
    <w:p>
      <w:pPr>
        <w:pStyle w:val="Bibliography"/>
      </w:pPr>
      <w:r>
        <w:t xml:space="preserve">Aguilar, Catalina, Jean-Baptiste Raina, Cherie A Motti, et al. 2017.</w:t>
      </w:r>
      <w:r>
        <w:t xml:space="preserve"> </w:t>
      </w:r>
      <w:r>
        <w:t xml:space="preserve">“Transcriptomic Analysis of the Response of Acropora Millepora to Hypo-Osmotic Stress Provides Insights into</w:t>
      </w:r>
      <w:r>
        <w:t xml:space="preserve"> </w:t>
      </w:r>
      <w:r>
        <w:t xml:space="preserve">DMSP</w:t>
      </w:r>
      <w:r>
        <w:t xml:space="preserve"> </w:t>
      </w:r>
      <w:r>
        <w:t xml:space="preserve">Biosynthesis by Corals.”</w:t>
      </w:r>
      <w:r>
        <w:t xml:space="preserve"> </w:t>
      </w:r>
      <w:r>
        <w:rPr>
          <w:i/>
          <w:iCs/>
        </w:rPr>
        <w:t xml:space="preserve">BMC Genomics</w:t>
      </w:r>
      <w:r>
        <w:t xml:space="preserve"> </w:t>
      </w:r>
      <w:r>
        <w:t xml:space="preserve">18 (August): 612.</w:t>
      </w:r>
      <w:r>
        <w:t xml:space="preserve"> </w:t>
      </w:r>
      <w:hyperlink r:id="rId134">
        <w:r>
          <w:rPr>
            <w:rStyle w:val="Hyperlink"/>
          </w:rPr>
          <w:t xml:space="preserve">https://doi.org/10.1186/s12864-017-3959-0</w:t>
        </w:r>
      </w:hyperlink>
      <w:r>
        <w:t xml:space="preserve">.</w:t>
      </w:r>
    </w:p>
    <w:bookmarkEnd w:id="135"/>
    <w:bookmarkStart w:id="137" w:name="ref-Al-Dahash2013-tt"/>
    <w:p>
      <w:pPr>
        <w:pStyle w:val="Bibliography"/>
      </w:pPr>
      <w:r>
        <w:t xml:space="preserve">Al-Dahash, Lulwa M, and Huda M Mahmoud. 2013.</w:t>
      </w:r>
      <w:r>
        <w:t xml:space="preserve"> </w:t>
      </w:r>
      <w:r>
        <w:t xml:space="preserve">“Harboring Oil-Degrading Bacteria: A Potential Mechanism of Adaptation and Survival in Corals Inhabiting Oil-Contaminated Reefs.”</w:t>
      </w:r>
      <w:r>
        <w:t xml:space="preserve"> </w:t>
      </w:r>
      <w:r>
        <w:rPr>
          <w:i/>
          <w:iCs/>
        </w:rPr>
        <w:t xml:space="preserve">Marine Pollution Bulletin</w:t>
      </w:r>
      <w:r>
        <w:t xml:space="preserve"> </w:t>
      </w:r>
      <w:r>
        <w:t xml:space="preserve">72 (July): 364–74.</w:t>
      </w:r>
      <w:r>
        <w:t xml:space="preserve"> </w:t>
      </w:r>
      <w:hyperlink r:id="rId136">
        <w:r>
          <w:rPr>
            <w:rStyle w:val="Hyperlink"/>
          </w:rPr>
          <w:t xml:space="preserve">https://doi.org/10.1016/j.marpolbul.2012.08.029</w:t>
        </w:r>
      </w:hyperlink>
      <w:r>
        <w:t xml:space="preserve">.</w:t>
      </w:r>
    </w:p>
    <w:bookmarkEnd w:id="137"/>
    <w:bookmarkStart w:id="139" w:name="ref-Anselmo2011-fr"/>
    <w:p>
      <w:pPr>
        <w:pStyle w:val="Bibliography"/>
      </w:pPr>
      <w:r>
        <w:t xml:space="preserve">Anselmo, Henrique M R, Lina Koerting, Sarah Devito, et al. 2011.</w:t>
      </w:r>
      <w:r>
        <w:t xml:space="preserve"> </w:t>
      </w:r>
      <w:r>
        <w:t xml:space="preserve">“Early Life Developmental Effects of Marine Persistent Organic Pollutants on the Sea Urchin Psammechinus Miliaris.”</w:t>
      </w:r>
      <w:r>
        <w:t xml:space="preserve"> </w:t>
      </w:r>
      <w:r>
        <w:rPr>
          <w:i/>
          <w:iCs/>
        </w:rPr>
        <w:t xml:space="preserve">Ecotoxicology and Environmental Safety</w:t>
      </w:r>
      <w:r>
        <w:t xml:space="preserve"> </w:t>
      </w:r>
      <w:r>
        <w:t xml:space="preserve">74 (November): 2182–92.</w:t>
      </w:r>
      <w:r>
        <w:t xml:space="preserve"> </w:t>
      </w:r>
      <w:hyperlink r:id="rId138">
        <w:r>
          <w:rPr>
            <w:rStyle w:val="Hyperlink"/>
          </w:rPr>
          <w:t xml:space="preserve">https://doi.org/10.1016/j.ecoenv.2011.07.037</w:t>
        </w:r>
      </w:hyperlink>
      <w:r>
        <w:t xml:space="preserve">.</w:t>
      </w:r>
    </w:p>
    <w:bookmarkEnd w:id="139"/>
    <w:bookmarkStart w:id="141" w:name="ref-Apprill2012-nz"/>
    <w:p>
      <w:pPr>
        <w:pStyle w:val="Bibliography"/>
      </w:pPr>
      <w:r>
        <w:t xml:space="preserve">Apprill, Amy, Heather Q Marlow, Mark Q Martindale, and Michael S Rappé. 2012.</w:t>
      </w:r>
      <w:r>
        <w:t xml:space="preserve"> </w:t>
      </w:r>
      <w:r>
        <w:t xml:space="preserve">“Specificity of Associations Between Bacteria and the Coral Pocillopora Meandrina During Early Development.”</w:t>
      </w:r>
      <w:r>
        <w:t xml:space="preserve"> </w:t>
      </w:r>
      <w:r>
        <w:rPr>
          <w:i/>
          <w:iCs/>
        </w:rPr>
        <w:t xml:space="preserve">Applied and Environmental Microbiology</w:t>
      </w:r>
      <w:r>
        <w:t xml:space="preserve"> </w:t>
      </w:r>
      <w:r>
        <w:t xml:space="preserve">78 (October): 7467–75.</w:t>
      </w:r>
      <w:r>
        <w:t xml:space="preserve"> </w:t>
      </w:r>
      <w:hyperlink r:id="rId140">
        <w:r>
          <w:rPr>
            <w:rStyle w:val="Hyperlink"/>
          </w:rPr>
          <w:t xml:space="preserve">https://doi.org/10.1128/AEM.01232-12</w:t>
        </w:r>
      </w:hyperlink>
      <w:r>
        <w:t xml:space="preserve">.</w:t>
      </w:r>
    </w:p>
    <w:bookmarkEnd w:id="141"/>
    <w:bookmarkStart w:id="143" w:name="ref-Atashgahi2018-ut"/>
    <w:p>
      <w:pPr>
        <w:pStyle w:val="Bibliography"/>
      </w:pPr>
      <w:r>
        <w:t xml:space="preserve">Atashgahi, Siavash, Martin G Liebensteiner, Dick B Janssen, Hauke Smidt, Alfons J M Stams, and Detmer Sipkema. 2018.</w:t>
      </w:r>
      <w:r>
        <w:t xml:space="preserve"> </w:t>
      </w:r>
      <w:r>
        <w:t xml:space="preserve">“Microbial Synthesis and Transformation of Inorganic and Organic Chlorine Compounds.”</w:t>
      </w:r>
      <w:r>
        <w:t xml:space="preserve"> </w:t>
      </w:r>
      <w:r>
        <w:rPr>
          <w:i/>
          <w:iCs/>
        </w:rPr>
        <w:t xml:space="preserve">Frontiers in Microbiology</w:t>
      </w:r>
      <w:r>
        <w:t xml:space="preserve"> </w:t>
      </w:r>
      <w:r>
        <w:t xml:space="preserve">9 (December): 3079.</w:t>
      </w:r>
      <w:r>
        <w:t xml:space="preserve"> </w:t>
      </w:r>
      <w:hyperlink r:id="rId142">
        <w:r>
          <w:rPr>
            <w:rStyle w:val="Hyperlink"/>
          </w:rPr>
          <w:t xml:space="preserve">https://doi.org/10.3389/fmicb.2018.03079</w:t>
        </w:r>
      </w:hyperlink>
      <w:r>
        <w:t xml:space="preserve">.</w:t>
      </w:r>
    </w:p>
    <w:bookmarkEnd w:id="143"/>
    <w:bookmarkStart w:id="145" w:name="ref-Atkinson1992-yj"/>
    <w:p>
      <w:pPr>
        <w:pStyle w:val="Bibliography"/>
      </w:pPr>
      <w:r>
        <w:t xml:space="preserve">Atkinson, S, and M J Atkinson. 1992.</w:t>
      </w:r>
      <w:r>
        <w:t xml:space="preserve"> </w:t>
      </w:r>
      <w:r>
        <w:t xml:space="preserve">“Detection of Estradiol-17? During a Mass Coral Spawn.”</w:t>
      </w:r>
      <w:r>
        <w:t xml:space="preserve"> </w:t>
      </w:r>
      <w:r>
        <w:rPr>
          <w:i/>
          <w:iCs/>
        </w:rPr>
        <w:t xml:space="preserve">Coral Reefs</w:t>
      </w:r>
      <w:r>
        <w:t xml:space="preserve"> </w:t>
      </w:r>
      <w:r>
        <w:t xml:space="preserve">11 (April): 33–35.</w:t>
      </w:r>
      <w:r>
        <w:t xml:space="preserve"> </w:t>
      </w:r>
      <w:hyperlink r:id="rId144">
        <w:r>
          <w:rPr>
            <w:rStyle w:val="Hyperlink"/>
          </w:rPr>
          <w:t xml:space="preserve">https://doi.org/10.1007/bf00291932</w:t>
        </w:r>
      </w:hyperlink>
      <w:r>
        <w:t xml:space="preserve">.</w:t>
      </w:r>
    </w:p>
    <w:bookmarkEnd w:id="145"/>
    <w:bookmarkStart w:id="147" w:name="ref-Bernasconi2019-ty"/>
    <w:p>
      <w:pPr>
        <w:pStyle w:val="Bibliography"/>
      </w:pPr>
      <w:r>
        <w:t xml:space="preserve">Bernasconi, Rachele, Michael Stat, Annette Koenders, Andrea Paparini, Michael Bunce, and Megan J Huggett. 2019.</w:t>
      </w:r>
      <w:r>
        <w:t xml:space="preserve"> </w:t>
      </w:r>
      <w:r>
        <w:t xml:space="preserve">“Establishment of Coral-Bacteria Symbioses Reveal Changes in the Core Bacterial Community with Host Ontogeny.”</w:t>
      </w:r>
      <w:r>
        <w:t xml:space="preserve"> </w:t>
      </w:r>
      <w:r>
        <w:rPr>
          <w:i/>
          <w:iCs/>
        </w:rPr>
        <w:t xml:space="preserve">Frontiers in Microbiology</w:t>
      </w:r>
      <w:r>
        <w:t xml:space="preserve"> </w:t>
      </w:r>
      <w:r>
        <w:t xml:space="preserve">10 (July): 1529.</w:t>
      </w:r>
      <w:r>
        <w:t xml:space="preserve"> </w:t>
      </w:r>
      <w:hyperlink r:id="rId146">
        <w:r>
          <w:rPr>
            <w:rStyle w:val="Hyperlink"/>
          </w:rPr>
          <w:t xml:space="preserve">https://doi.org/10.3389/fmicb.2019.01529</w:t>
        </w:r>
      </w:hyperlink>
      <w:r>
        <w:t xml:space="preserve">.</w:t>
      </w:r>
    </w:p>
    <w:bookmarkEnd w:id="147"/>
    <w:bookmarkStart w:id="149" w:name="ref-Berry2019-cu"/>
    <w:p>
      <w:pPr>
        <w:pStyle w:val="Bibliography"/>
      </w:pPr>
      <w:r>
        <w:t xml:space="preserve">Berry, Kathryn L E, Hannah E Epstein, Phoebe J Lewis, Nora M Hall, and Andrew P Negri. 2019.</w:t>
      </w:r>
      <w:r>
        <w:t xml:space="preserve"> </w:t>
      </w:r>
      <w:r>
        <w:t xml:space="preserve">“Microplastic Contamination Has Limited Effects on Coral Fertilisation and Larvae.”</w:t>
      </w:r>
      <w:r>
        <w:t xml:space="preserve"> </w:t>
      </w:r>
      <w:r>
        <w:rPr>
          <w:i/>
          <w:iCs/>
        </w:rPr>
        <w:t xml:space="preserve">Diversity</w:t>
      </w:r>
      <w:r>
        <w:t xml:space="preserve"> </w:t>
      </w:r>
      <w:r>
        <w:t xml:space="preserve">11 (November): 228.</w:t>
      </w:r>
      <w:r>
        <w:t xml:space="preserve"> </w:t>
      </w:r>
      <w:hyperlink r:id="rId148">
        <w:r>
          <w:rPr>
            <w:rStyle w:val="Hyperlink"/>
          </w:rPr>
          <w:t xml:space="preserve">https://doi.org/10.3390/d11120228</w:t>
        </w:r>
      </w:hyperlink>
      <w:r>
        <w:t xml:space="preserve">.</w:t>
      </w:r>
    </w:p>
    <w:bookmarkEnd w:id="149"/>
    <w:bookmarkStart w:id="151" w:name="ref-Bolyen2019-jd"/>
    <w:p>
      <w:pPr>
        <w:pStyle w:val="Bibliography"/>
      </w:pPr>
      <w:r>
        <w:t xml:space="preserve">Bolyen, Evan, Jai Ram Rideout, Matthew R Dillon, et al. 2019.</w:t>
      </w:r>
      <w:r>
        <w:t xml:space="preserve"> </w:t>
      </w:r>
      <w:r>
        <w:t xml:space="preserve">“Reproducible, Interactive, Scalable and Extensible Microbiome Data Science Using</w:t>
      </w:r>
      <w:r>
        <w:t xml:space="preserve"> </w:t>
      </w:r>
      <w:r>
        <w:t xml:space="preserve">QIIME</w:t>
      </w:r>
      <w:r>
        <w:t xml:space="preserve"> </w:t>
      </w:r>
      <w:r>
        <w:t xml:space="preserve">2.”</w:t>
      </w:r>
      <w:r>
        <w:t xml:space="preserve"> </w:t>
      </w:r>
      <w:r>
        <w:rPr>
          <w:i/>
          <w:iCs/>
        </w:rPr>
        <w:t xml:space="preserve">Nature Biotechnology</w:t>
      </w:r>
      <w:r>
        <w:t xml:space="preserve"> </w:t>
      </w:r>
      <w:r>
        <w:t xml:space="preserve">37 (August): 852–57.</w:t>
      </w:r>
      <w:r>
        <w:t xml:space="preserve"> </w:t>
      </w:r>
      <w:hyperlink r:id="rId150">
        <w:r>
          <w:rPr>
            <w:rStyle w:val="Hyperlink"/>
          </w:rPr>
          <w:t xml:space="preserve">https://doi.org/10.1038/s41587-019-0209-9</w:t>
        </w:r>
      </w:hyperlink>
      <w:r>
        <w:t xml:space="preserve">.</w:t>
      </w:r>
    </w:p>
    <w:bookmarkEnd w:id="151"/>
    <w:bookmarkStart w:id="153" w:name="ref-Capolupo2023-rf"/>
    <w:p>
      <w:pPr>
        <w:pStyle w:val="Bibliography"/>
      </w:pPr>
      <w:r>
        <w:t xml:space="preserve">Capolupo, Marco, Ayesha Rafiq, Irene Coralli, et al. 2023.</w:t>
      </w:r>
      <w:r>
        <w:t xml:space="preserve"> </w:t>
      </w:r>
      <w:r>
        <w:t xml:space="preserve">“Bioplastic Leachates Characterization and Impacts on Early Larval Stages and Adult Mussel Cellular, Biochemical and Physiological Responses.”</w:t>
      </w:r>
      <w:r>
        <w:t xml:space="preserve"> </w:t>
      </w:r>
      <w:r>
        <w:rPr>
          <w:i/>
          <w:iCs/>
        </w:rPr>
        <w:t xml:space="preserve">Environmental Pollution (Barking, Essex: 1987)</w:t>
      </w:r>
      <w:r>
        <w:t xml:space="preserve"> </w:t>
      </w:r>
      <w:r>
        <w:t xml:space="preserve">319 (February): 120951.</w:t>
      </w:r>
      <w:r>
        <w:t xml:space="preserve"> </w:t>
      </w:r>
      <w:hyperlink r:id="rId152">
        <w:r>
          <w:rPr>
            <w:rStyle w:val="Hyperlink"/>
          </w:rPr>
          <w:t xml:space="preserve">https://doi.org/10.1016/j.envpol.2022.120951</w:t>
        </w:r>
      </w:hyperlink>
      <w:r>
        <w:t xml:space="preserve">.</w:t>
      </w:r>
    </w:p>
    <w:bookmarkEnd w:id="153"/>
    <w:bookmarkStart w:id="155" w:name="ref-Chen2023-qc"/>
    <w:p>
      <w:pPr>
        <w:pStyle w:val="Bibliography"/>
      </w:pPr>
      <w:r>
        <w:t xml:space="preserve">Chen, Shifu. 2023.</w:t>
      </w:r>
      <w:r>
        <w:t xml:space="preserve"> </w:t>
      </w:r>
      <w:r>
        <w:t xml:space="preserve">“Ultrafast One-Pass</w:t>
      </w:r>
      <w:r>
        <w:t xml:space="preserve"> </w:t>
      </w:r>
      <w:r>
        <w:t xml:space="preserve">FASTQ</w:t>
      </w:r>
      <w:r>
        <w:t xml:space="preserve"> </w:t>
      </w:r>
      <w:r>
        <w:t xml:space="preserve">Data Preprocessing, Quality Control, and Deduplication Using Fastp.”</w:t>
      </w:r>
      <w:r>
        <w:t xml:space="preserve"> </w:t>
      </w:r>
      <w:r>
        <w:rPr>
          <w:i/>
          <w:iCs/>
        </w:rPr>
        <w:t xml:space="preserve">iMeta</w:t>
      </w:r>
      <w:r>
        <w:t xml:space="preserve"> </w:t>
      </w:r>
      <w:r>
        <w:t xml:space="preserve">2: e107.</w:t>
      </w:r>
      <w:r>
        <w:t xml:space="preserve"> </w:t>
      </w:r>
      <w:hyperlink r:id="rId154">
        <w:r>
          <w:rPr>
            <w:rStyle w:val="Hyperlink"/>
          </w:rPr>
          <w:t xml:space="preserve">https://doi.org/10.1002/imt2.107</w:t>
        </w:r>
      </w:hyperlink>
      <w:r>
        <w:t xml:space="preserve">.</w:t>
      </w:r>
    </w:p>
    <w:bookmarkEnd w:id="155"/>
    <w:bookmarkStart w:id="157" w:name="ref-Chille2022-fw"/>
    <w:p>
      <w:pPr>
        <w:pStyle w:val="Bibliography"/>
      </w:pPr>
      <w:r>
        <w:t xml:space="preserve">Chille, E E, E L Strand, F Scucchia, et al. 2022.</w:t>
      </w:r>
      <w:r>
        <w:t xml:space="preserve"> </w:t>
      </w:r>
      <w:r>
        <w:t xml:space="preserve">“Energetics, but Not Development, Is Impacted in Coral Embryos Exposed to Ocean Acidification.”</w:t>
      </w:r>
      <w:r>
        <w:t xml:space="preserve"> </w:t>
      </w:r>
      <w:r>
        <w:rPr>
          <w:i/>
          <w:iCs/>
        </w:rPr>
        <w:t xml:space="preserve">The Journal of Experimental Biology</w:t>
      </w:r>
      <w:r>
        <w:t xml:space="preserve"> </w:t>
      </w:r>
      <w:r>
        <w:t xml:space="preserve">225 (October): jeb243187.</w:t>
      </w:r>
      <w:r>
        <w:t xml:space="preserve"> </w:t>
      </w:r>
      <w:hyperlink r:id="rId156">
        <w:r>
          <w:rPr>
            <w:rStyle w:val="Hyperlink"/>
          </w:rPr>
          <w:t xml:space="preserve">https://doi.org/10.1242/jeb.243187</w:t>
        </w:r>
      </w:hyperlink>
      <w:r>
        <w:t xml:space="preserve">.</w:t>
      </w:r>
    </w:p>
    <w:bookmarkEnd w:id="157"/>
    <w:bookmarkStart w:id="159" w:name="ref-Chille2021-mf"/>
    <w:p>
      <w:pPr>
        <w:pStyle w:val="Bibliography"/>
      </w:pPr>
      <w:r>
        <w:t xml:space="preserve">Chille, Erin, Emma Strand, Mayaan Neder, et al. 2021.</w:t>
      </w:r>
      <w:r>
        <w:t xml:space="preserve"> </w:t>
      </w:r>
      <w:r>
        <w:t xml:space="preserve">“Developmental Series of Gene Expression Clarifies Maternal</w:t>
      </w:r>
      <w:r>
        <w:t xml:space="preserve"> </w:t>
      </w:r>
      <w:r>
        <w:t xml:space="preserve">mRNA</w:t>
      </w:r>
      <w:r>
        <w:t xml:space="preserve"> </w:t>
      </w:r>
      <w:r>
        <w:t xml:space="preserve">Provisioning and Maternal-to-Zygotic Transition in a Reef-Building Coral.”</w:t>
      </w:r>
      <w:r>
        <w:t xml:space="preserve"> </w:t>
      </w:r>
      <w:r>
        <w:rPr>
          <w:i/>
          <w:iCs/>
        </w:rPr>
        <w:t xml:space="preserve">BMC Genomics</w:t>
      </w:r>
      <w:r>
        <w:t xml:space="preserve"> </w:t>
      </w:r>
      <w:r>
        <w:t xml:space="preserve">22 (November): 815.</w:t>
      </w:r>
      <w:r>
        <w:t xml:space="preserve"> </w:t>
      </w:r>
      <w:hyperlink r:id="rId158">
        <w:r>
          <w:rPr>
            <w:rStyle w:val="Hyperlink"/>
          </w:rPr>
          <w:t xml:space="preserve">https://doi.org/10.1186/s12864-021-08114-y</w:t>
        </w:r>
      </w:hyperlink>
      <w:r>
        <w:t xml:space="preserve">.</w:t>
      </w:r>
    </w:p>
    <w:bookmarkEnd w:id="159"/>
    <w:bookmarkStart w:id="161" w:name="ref-Civciristov2018-fy"/>
    <w:p>
      <w:pPr>
        <w:pStyle w:val="Bibliography"/>
      </w:pPr>
      <w:r>
        <w:t xml:space="preserve">Civciristov, Srgjan, Andrew M Ellisdon, Ryan Suderman, et al. 2018.</w:t>
      </w:r>
      <w:r>
        <w:t xml:space="preserve"> </w:t>
      </w:r>
      <w:r>
        <w:t xml:space="preserve">“Preassembled</w:t>
      </w:r>
      <w:r>
        <w:t xml:space="preserve"> </w:t>
      </w:r>
      <w:r>
        <w:t xml:space="preserve">GPCR</w:t>
      </w:r>
      <w:r>
        <w:t xml:space="preserve"> </w:t>
      </w:r>
      <w:r>
        <w:t xml:space="preserve">Signaling Complexes Mediate Distinct Cellular Responses to Ultralow Ligand Concentrations.”</w:t>
      </w:r>
      <w:r>
        <w:t xml:space="preserve"> </w:t>
      </w:r>
      <w:r>
        <w:rPr>
          <w:i/>
          <w:iCs/>
        </w:rPr>
        <w:t xml:space="preserve">Science Signaling</w:t>
      </w:r>
      <w:r>
        <w:t xml:space="preserve"> </w:t>
      </w:r>
      <w:r>
        <w:t xml:space="preserve">11 (October): eaan1188.</w:t>
      </w:r>
      <w:r>
        <w:t xml:space="preserve"> </w:t>
      </w:r>
      <w:hyperlink r:id="rId160">
        <w:r>
          <w:rPr>
            <w:rStyle w:val="Hyperlink"/>
          </w:rPr>
          <w:t xml:space="preserve">https://doi.org/10.1126/scisignal.aan1188</w:t>
        </w:r>
      </w:hyperlink>
      <w:r>
        <w:t xml:space="preserve">.</w:t>
      </w:r>
    </w:p>
    <w:bookmarkEnd w:id="161"/>
    <w:bookmarkStart w:id="163" w:name="ref-Claar2020-pc"/>
    <w:p>
      <w:pPr>
        <w:pStyle w:val="Bibliography"/>
      </w:pPr>
      <w:r>
        <w:t xml:space="preserve">Claar, Danielle C, Samuel Starko, Kristina L Tietjen, et al. 2020.</w:t>
      </w:r>
      <w:r>
        <w:t xml:space="preserve"> </w:t>
      </w:r>
      <w:r>
        <w:t xml:space="preserve">“Dynamic Symbioses Reveal Pathways to Coral Survival Through Prolonged Heatwaves.”</w:t>
      </w:r>
      <w:r>
        <w:t xml:space="preserve"> </w:t>
      </w:r>
      <w:r>
        <w:rPr>
          <w:i/>
          <w:iCs/>
        </w:rPr>
        <w:t xml:space="preserve">Nature Communications</w:t>
      </w:r>
      <w:r>
        <w:t xml:space="preserve"> </w:t>
      </w:r>
      <w:r>
        <w:t xml:space="preserve">11 (December): 6097.</w:t>
      </w:r>
      <w:r>
        <w:t xml:space="preserve"> </w:t>
      </w:r>
      <w:hyperlink r:id="rId162">
        <w:r>
          <w:rPr>
            <w:rStyle w:val="Hyperlink"/>
          </w:rPr>
          <w:t xml:space="preserve">https://doi.org/10.1038/s41467-020-19169-y</w:t>
        </w:r>
      </w:hyperlink>
      <w:r>
        <w:t xml:space="preserve">.</w:t>
      </w:r>
    </w:p>
    <w:bookmarkEnd w:id="163"/>
    <w:bookmarkStart w:id="165" w:name="ref-Danecek2021-pu"/>
    <w:p>
      <w:pPr>
        <w:pStyle w:val="Bibliography"/>
      </w:pPr>
      <w:r>
        <w:t xml:space="preserve">Danecek, Petr, James K Bonfield, Jennifer Liddle, et al. 2021.</w:t>
      </w:r>
      <w:r>
        <w:t xml:space="preserve"> </w:t>
      </w:r>
      <w:r>
        <w:t xml:space="preserve">“Twelve Years of</w:t>
      </w:r>
      <w:r>
        <w:t xml:space="preserve"> </w:t>
      </w:r>
      <w:r>
        <w:t xml:space="preserve">SAMtools</w:t>
      </w:r>
      <w:r>
        <w:t xml:space="preserve"> </w:t>
      </w:r>
      <w:r>
        <w:t xml:space="preserve">and</w:t>
      </w:r>
      <w:r>
        <w:t xml:space="preserve"> </w:t>
      </w:r>
      <w:r>
        <w:t xml:space="preserve">BCFtools</w:t>
      </w:r>
      <w:r>
        <w:t xml:space="preserve">.”</w:t>
      </w:r>
      <w:r>
        <w:t xml:space="preserve"> </w:t>
      </w:r>
      <w:r>
        <w:rPr>
          <w:i/>
          <w:iCs/>
        </w:rPr>
        <w:t xml:space="preserve">GigaScience</w:t>
      </w:r>
      <w:r>
        <w:t xml:space="preserve"> </w:t>
      </w:r>
      <w:r>
        <w:t xml:space="preserve">10 (February).</w:t>
      </w:r>
      <w:r>
        <w:t xml:space="preserve"> </w:t>
      </w:r>
      <w:hyperlink r:id="rId164">
        <w:r>
          <w:rPr>
            <w:rStyle w:val="Hyperlink"/>
          </w:rPr>
          <w:t xml:space="preserve">https://doi.org/10.1093/gigascience/giab008</w:t>
        </w:r>
      </w:hyperlink>
      <w:r>
        <w:t xml:space="preserve">.</w:t>
      </w:r>
    </w:p>
    <w:bookmarkEnd w:id="165"/>
    <w:bookmarkStart w:id="167" w:name="ref-Deschaseaux2014-cr"/>
    <w:p>
      <w:pPr>
        <w:pStyle w:val="Bibliography"/>
      </w:pPr>
      <w:r>
        <w:t xml:space="preserve">Deschaseaux, E S M, G B Jones, M A Deseo, et al. 2014.</w:t>
      </w:r>
      <w:r>
        <w:t xml:space="preserve"> </w:t>
      </w:r>
      <w:r>
        <w:t xml:space="preserve">“Effects of Environmental Factors on Dimethylated Sulfur Compounds and Their Potential Role in the Antioxidant System of the Coral Holobiont.”</w:t>
      </w:r>
      <w:r>
        <w:t xml:space="preserve"> </w:t>
      </w:r>
      <w:r>
        <w:rPr>
          <w:i/>
          <w:iCs/>
        </w:rPr>
        <w:t xml:space="preserve">Limnology and Oceanography</w:t>
      </w:r>
      <w:r>
        <w:t xml:space="preserve"> </w:t>
      </w:r>
      <w:r>
        <w:t xml:space="preserve">59 (May): 758–68.</w:t>
      </w:r>
      <w:r>
        <w:t xml:space="preserve"> </w:t>
      </w:r>
      <w:hyperlink r:id="rId166">
        <w:r>
          <w:rPr>
            <w:rStyle w:val="Hyperlink"/>
          </w:rPr>
          <w:t xml:space="preserve">https://doi.org/10.4319/lo.2014.59.3.0758</w:t>
        </w:r>
      </w:hyperlink>
      <w:r>
        <w:t xml:space="preserve">.</w:t>
      </w:r>
    </w:p>
    <w:bookmarkEnd w:id="167"/>
    <w:bookmarkStart w:id="169" w:name="ref-Douglas2020-cz"/>
    <w:p>
      <w:pPr>
        <w:pStyle w:val="Bibliography"/>
      </w:pPr>
      <w:r>
        <w:t xml:space="preserve">Douglas, Gavin M, Vincent J Maffei, Jesse R Zaneveld, et al. 2020.</w:t>
      </w:r>
      <w:r>
        <w:t xml:space="preserve"> </w:t>
      </w:r>
      <w:r>
        <w:t xml:space="preserve">“</w:t>
      </w:r>
      <w:r>
        <w:t xml:space="preserve">PICRUSt2</w:t>
      </w:r>
      <w:r>
        <w:t xml:space="preserve"> </w:t>
      </w:r>
      <w:r>
        <w:t xml:space="preserve">for Prediction of Metagenome Functions.”</w:t>
      </w:r>
      <w:r>
        <w:t xml:space="preserve"> </w:t>
      </w:r>
      <w:r>
        <w:rPr>
          <w:i/>
          <w:iCs/>
        </w:rPr>
        <w:t xml:space="preserve">Nature Biotechnology</w:t>
      </w:r>
      <w:r>
        <w:t xml:space="preserve"> </w:t>
      </w:r>
      <w:r>
        <w:t xml:space="preserve">38 (June): 685–88.</w:t>
      </w:r>
      <w:r>
        <w:t xml:space="preserve"> </w:t>
      </w:r>
      <w:hyperlink r:id="rId168">
        <w:r>
          <w:rPr>
            <w:rStyle w:val="Hyperlink"/>
          </w:rPr>
          <w:t xml:space="preserve">https://doi.org/10.1038/s41587-020-0548-6</w:t>
        </w:r>
      </w:hyperlink>
      <w:r>
        <w:t xml:space="preserve">.</w:t>
      </w:r>
    </w:p>
    <w:bookmarkEnd w:id="169"/>
    <w:bookmarkStart w:id="171" w:name="ref-Eddy2018-ac"/>
    <w:p>
      <w:pPr>
        <w:pStyle w:val="Bibliography"/>
      </w:pPr>
      <w:r>
        <w:t xml:space="preserve">Eddy, Tyler D, William W L Cheung, and John F Bruno. 2018.</w:t>
      </w:r>
      <w:r>
        <w:t xml:space="preserve"> </w:t>
      </w:r>
      <w:r>
        <w:t xml:space="preserve">“Historical Baselines of Coral Cover on Tropical Reefs as Estimated by Expert Opinion.”</w:t>
      </w:r>
      <w:r>
        <w:t xml:space="preserve"> </w:t>
      </w:r>
      <w:r>
        <w:rPr>
          <w:i/>
          <w:iCs/>
        </w:rPr>
        <w:t xml:space="preserve">PeerJ</w:t>
      </w:r>
      <w:r>
        <w:t xml:space="preserve"> </w:t>
      </w:r>
      <w:r>
        <w:t xml:space="preserve">6 (January): e4308.</w:t>
      </w:r>
      <w:r>
        <w:t xml:space="preserve"> </w:t>
      </w:r>
      <w:hyperlink r:id="rId170">
        <w:r>
          <w:rPr>
            <w:rStyle w:val="Hyperlink"/>
          </w:rPr>
          <w:t xml:space="preserve">https://doi.org/10.7717/peerj.4308</w:t>
        </w:r>
      </w:hyperlink>
      <w:r>
        <w:t xml:space="preserve">.</w:t>
      </w:r>
    </w:p>
    <w:bookmarkEnd w:id="171"/>
    <w:bookmarkStart w:id="173" w:name="ref-Eddy2021-re"/>
    <w:p>
      <w:pPr>
        <w:pStyle w:val="Bibliography"/>
      </w:pPr>
      <w:r>
        <w:t xml:space="preserve">Eddy, Tyler D, Vicky W Y Lam, Gabriel Reygondeau, et al. 2021.</w:t>
      </w:r>
      <w:r>
        <w:t xml:space="preserve"> </w:t>
      </w:r>
      <w:r>
        <w:t xml:space="preserve">“Global Decline in Capacity of Coral Reefs to Provide Ecosystem Services.”</w:t>
      </w:r>
      <w:r>
        <w:t xml:space="preserve"> </w:t>
      </w:r>
      <w:r>
        <w:rPr>
          <w:i/>
          <w:iCs/>
        </w:rPr>
        <w:t xml:space="preserve">One Earth (Cambridge, Mass.)</w:t>
      </w:r>
      <w:r>
        <w:t xml:space="preserve"> </w:t>
      </w:r>
      <w:r>
        <w:t xml:space="preserve">4 (September): 1278–85.</w:t>
      </w:r>
      <w:r>
        <w:t xml:space="preserve"> </w:t>
      </w:r>
      <w:hyperlink r:id="rId172">
        <w:r>
          <w:rPr>
            <w:rStyle w:val="Hyperlink"/>
          </w:rPr>
          <w:t xml:space="preserve">https://doi.org/10.1016/j.oneear.2021.08.016</w:t>
        </w:r>
      </w:hyperlink>
      <w:r>
        <w:t xml:space="preserve">.</w:t>
      </w:r>
    </w:p>
    <w:bookmarkEnd w:id="173"/>
    <w:bookmarkStart w:id="175" w:name="ref-Ewels2016-ku"/>
    <w:p>
      <w:pPr>
        <w:pStyle w:val="Bibliography"/>
      </w:pPr>
      <w:r>
        <w:t xml:space="preserve">Ewels, Philip, Måns Magnusson, Sverker Lundin, and Max Käller. 2016.</w:t>
      </w:r>
      <w:r>
        <w:t xml:space="preserve"> </w:t>
      </w:r>
      <w:r>
        <w:t xml:space="preserve">“</w:t>
      </w:r>
      <w:r>
        <w:t xml:space="preserve">MultiQC</w:t>
      </w:r>
      <w:r>
        <w:t xml:space="preserve">: Summarize Analysis Results for Multiple Tools and Samples in a Single Report.”</w:t>
      </w:r>
      <w:r>
        <w:t xml:space="preserve"> </w:t>
      </w:r>
      <w:r>
        <w:rPr>
          <w:i/>
          <w:iCs/>
        </w:rPr>
        <w:t xml:space="preserve">Bioinformatics (Oxford, England)</w:t>
      </w:r>
      <w:r>
        <w:t xml:space="preserve"> </w:t>
      </w:r>
      <w:r>
        <w:t xml:space="preserve">32 (October): 3047–48.</w:t>
      </w:r>
      <w:r>
        <w:t xml:space="preserve"> </w:t>
      </w:r>
      <w:hyperlink r:id="rId174">
        <w:r>
          <w:rPr>
            <w:rStyle w:val="Hyperlink"/>
          </w:rPr>
          <w:t xml:space="preserve">https://doi.org/10.1093/bioinformatics/btw354</w:t>
        </w:r>
      </w:hyperlink>
      <w:r>
        <w:t xml:space="preserve">.</w:t>
      </w:r>
    </w:p>
    <w:bookmarkEnd w:id="175"/>
    <w:bookmarkStart w:id="177" w:name="ref-Fischer2012-pe"/>
    <w:p>
      <w:pPr>
        <w:pStyle w:val="Bibliography"/>
      </w:pPr>
      <w:r>
        <w:t xml:space="preserve">Fischer, Esther, and Graham Jones. 2012.</w:t>
      </w:r>
      <w:r>
        <w:t xml:space="preserve"> </w:t>
      </w:r>
      <w:r>
        <w:t xml:space="preserve">“Atmospheric Dimethysulphide Production from Corals in the Great Barrier Reef and Links to Solar Radiation, Climate and Coral Bleaching.”</w:t>
      </w:r>
      <w:r>
        <w:t xml:space="preserve"> </w:t>
      </w:r>
      <w:r>
        <w:rPr>
          <w:i/>
          <w:iCs/>
        </w:rPr>
        <w:t xml:space="preserve">Biogeochemistry</w:t>
      </w:r>
      <w:r>
        <w:t xml:space="preserve"> </w:t>
      </w:r>
      <w:r>
        <w:t xml:space="preserve">110 (September): 31–46.</w:t>
      </w:r>
      <w:r>
        <w:t xml:space="preserve"> </w:t>
      </w:r>
      <w:hyperlink r:id="rId176">
        <w:r>
          <w:rPr>
            <w:rStyle w:val="Hyperlink"/>
          </w:rPr>
          <w:t xml:space="preserve">https://doi.org/10.1007/s10533-012-9719-y</w:t>
        </w:r>
      </w:hyperlink>
      <w:r>
        <w:t xml:space="preserve">.</w:t>
      </w:r>
    </w:p>
    <w:bookmarkEnd w:id="177"/>
    <w:bookmarkStart w:id="179" w:name="ref-Focardi2022-hz"/>
    <w:p>
      <w:pPr>
        <w:pStyle w:val="Bibliography"/>
      </w:pPr>
      <w:r>
        <w:t xml:space="preserve">Focardi, Amaranta, Lisa R Moore, Jean-Baptiste Raina, Justin R Seymour, Ian T Paulsen, and Sasha G Tetu. 2022.</w:t>
      </w:r>
      <w:r>
        <w:t xml:space="preserve"> </w:t>
      </w:r>
      <w:r>
        <w:t xml:space="preserve">“Plastic Leachates Impair Picophytoplankton and Dramatically Reshape the Marine Microbiome.”</w:t>
      </w:r>
      <w:r>
        <w:t xml:space="preserve"> </w:t>
      </w:r>
      <w:r>
        <w:rPr>
          <w:i/>
          <w:iCs/>
        </w:rPr>
        <w:t xml:space="preserve">Microbiome</w:t>
      </w:r>
      <w:r>
        <w:t xml:space="preserve"> </w:t>
      </w:r>
      <w:r>
        <w:t xml:space="preserve">10 (October): 179.</w:t>
      </w:r>
      <w:r>
        <w:t xml:space="preserve"> </w:t>
      </w:r>
      <w:hyperlink r:id="rId178">
        <w:r>
          <w:rPr>
            <w:rStyle w:val="Hyperlink"/>
          </w:rPr>
          <w:t xml:space="preserve">https://doi.org/10.1186/s40168-022-01369-x</w:t>
        </w:r>
      </w:hyperlink>
      <w:r>
        <w:t xml:space="preserve">.</w:t>
      </w:r>
    </w:p>
    <w:bookmarkEnd w:id="179"/>
    <w:bookmarkStart w:id="181" w:name="ref-Gambardella2024-bh"/>
    <w:p>
      <w:pPr>
        <w:pStyle w:val="Bibliography"/>
      </w:pPr>
      <w:r>
        <w:t xml:space="preserve">Gambardella, Chiara, Roberta Miroglio, Marina Prieto Amador, et al. 2024.</w:t>
      </w:r>
      <w:r>
        <w:t xml:space="preserve"> </w:t>
      </w:r>
      <w:r>
        <w:t xml:space="preserve">“High Concentrations of Phthalates Affect the Early Development of the Sea Urchin</w:t>
      </w:r>
      <w:r>
        <w:t xml:space="preserve"> </w:t>
      </w:r>
      <w:r>
        <w:rPr>
          <w:i/>
          <w:iCs/>
        </w:rPr>
        <w:t xml:space="preserve">Paracentrotus Lividus</w:t>
      </w:r>
      <w:r>
        <w:t xml:space="preserve">.”</w:t>
      </w:r>
      <w:r>
        <w:t xml:space="preserve"> </w:t>
      </w:r>
      <w:r>
        <w:rPr>
          <w:i/>
          <w:iCs/>
        </w:rPr>
        <w:t xml:space="preserve">Ecotoxicology and Environmental Safety</w:t>
      </w:r>
      <w:r>
        <w:t xml:space="preserve"> </w:t>
      </w:r>
      <w:r>
        <w:t xml:space="preserve">279 (July): 116473.</w:t>
      </w:r>
      <w:r>
        <w:t xml:space="preserve"> </w:t>
      </w:r>
      <w:hyperlink r:id="rId180">
        <w:r>
          <w:rPr>
            <w:rStyle w:val="Hyperlink"/>
          </w:rPr>
          <w:t xml:space="preserve">https://doi.org/10.1016/j.ecoenv.2024.116473</w:t>
        </w:r>
      </w:hyperlink>
      <w:r>
        <w:t xml:space="preserve">.</w:t>
      </w:r>
    </w:p>
    <w:bookmarkEnd w:id="181"/>
    <w:bookmarkStart w:id="183" w:name="ref-Gardner2017-av"/>
    <w:p>
      <w:pPr>
        <w:pStyle w:val="Bibliography"/>
      </w:pPr>
      <w:r>
        <w:t xml:space="preserve">Gardner, Stephanie G, Jean-Baptiste Raina, Matthew R Nitschke, et al. 2017.</w:t>
      </w:r>
      <w:r>
        <w:t xml:space="preserve"> </w:t>
      </w:r>
      <w:r>
        <w:t xml:space="preserve">“A Multi-Trait Systems Approach Reveals a Response Cascade to Bleaching in Corals.”</w:t>
      </w:r>
      <w:r>
        <w:t xml:space="preserve"> </w:t>
      </w:r>
      <w:r>
        <w:rPr>
          <w:i/>
          <w:iCs/>
        </w:rPr>
        <w:t xml:space="preserve">BMC Biology</w:t>
      </w:r>
      <w:r>
        <w:t xml:space="preserve"> </w:t>
      </w:r>
      <w:r>
        <w:t xml:space="preserve">15 (December): 117.</w:t>
      </w:r>
      <w:r>
        <w:t xml:space="preserve"> </w:t>
      </w:r>
      <w:hyperlink r:id="rId182">
        <w:r>
          <w:rPr>
            <w:rStyle w:val="Hyperlink"/>
          </w:rPr>
          <w:t xml:space="preserve">https://doi.org/10.1186/s12915-017-0459-2</w:t>
        </w:r>
      </w:hyperlink>
      <w:r>
        <w:t xml:space="preserve">.</w:t>
      </w:r>
    </w:p>
    <w:bookmarkEnd w:id="183"/>
    <w:bookmarkStart w:id="185" w:name="ref-Gloor2017-fv"/>
    <w:p>
      <w:pPr>
        <w:pStyle w:val="Bibliography"/>
      </w:pPr>
      <w:r>
        <w:t xml:space="preserve">Gloor, Gregory B, Jean M Macklaim, Vera Pawlowsky-Glahn, and Juan J Egozcue. 2017.</w:t>
      </w:r>
      <w:r>
        <w:t xml:space="preserve"> </w:t>
      </w:r>
      <w:r>
        <w:t xml:space="preserve">“Microbiome Datasets Are Compositional: And This Is Not Optional.”</w:t>
      </w:r>
      <w:r>
        <w:t xml:space="preserve"> </w:t>
      </w:r>
      <w:r>
        <w:rPr>
          <w:i/>
          <w:iCs/>
        </w:rPr>
        <w:t xml:space="preserve">Frontiers in Microbiology</w:t>
      </w:r>
      <w:r>
        <w:t xml:space="preserve"> </w:t>
      </w:r>
      <w:r>
        <w:t xml:space="preserve">8 (November): 2224.</w:t>
      </w:r>
      <w:r>
        <w:t xml:space="preserve"> </w:t>
      </w:r>
      <w:hyperlink r:id="rId184">
        <w:r>
          <w:rPr>
            <w:rStyle w:val="Hyperlink"/>
          </w:rPr>
          <w:t xml:space="preserve">https://doi.org/10.3389/fmicb.2017.02224</w:t>
        </w:r>
      </w:hyperlink>
      <w:r>
        <w:t xml:space="preserve">.</w:t>
      </w:r>
    </w:p>
    <w:bookmarkEnd w:id="185"/>
    <w:bookmarkStart w:id="187" w:name="ref-Grasso2001-bm"/>
    <w:p>
      <w:pPr>
        <w:pStyle w:val="Bibliography"/>
      </w:pPr>
      <w:r>
        <w:t xml:space="preserve">Grasso, L C, D C Hayward, J W Trueman, K M Hardie, P A Janssens, and E E Ball. 2001.</w:t>
      </w:r>
      <w:r>
        <w:t xml:space="preserve"> </w:t>
      </w:r>
      <w:r>
        <w:t xml:space="preserve">“The Evolution of Nuclear Receptors: Evidence from the Coral Acropora.”</w:t>
      </w:r>
      <w:r>
        <w:t xml:space="preserve"> </w:t>
      </w:r>
      <w:r>
        <w:rPr>
          <w:i/>
          <w:iCs/>
        </w:rPr>
        <w:t xml:space="preserve">Molecular Phylogenetics and Evolution</w:t>
      </w:r>
      <w:r>
        <w:t xml:space="preserve"> </w:t>
      </w:r>
      <w:r>
        <w:t xml:space="preserve">21 (October): 93–102.</w:t>
      </w:r>
      <w:r>
        <w:t xml:space="preserve"> </w:t>
      </w:r>
      <w:hyperlink r:id="rId186">
        <w:r>
          <w:rPr>
            <w:rStyle w:val="Hyperlink"/>
          </w:rPr>
          <w:t xml:space="preserve">https://doi.org/10.1006/mpev.2001.0994</w:t>
        </w:r>
      </w:hyperlink>
      <w:r>
        <w:t xml:space="preserve">.</w:t>
      </w:r>
    </w:p>
    <w:bookmarkEnd w:id="187"/>
    <w:bookmarkStart w:id="189" w:name="ref-Grasso2008-wa"/>
    <w:p>
      <w:pPr>
        <w:pStyle w:val="Bibliography"/>
      </w:pPr>
      <w:r>
        <w:t xml:space="preserve">Grasso, Lauretta C, John Maindonald, Stephen Rudd, et al. 2008.</w:t>
      </w:r>
      <w:r>
        <w:t xml:space="preserve"> </w:t>
      </w:r>
      <w:r>
        <w:t xml:space="preserve">“Microarray Analysis Identifies Candidate Genes for Key Roles in Coral Development.”</w:t>
      </w:r>
      <w:r>
        <w:t xml:space="preserve"> </w:t>
      </w:r>
      <w:r>
        <w:rPr>
          <w:i/>
          <w:iCs/>
        </w:rPr>
        <w:t xml:space="preserve">BMC Genomics</w:t>
      </w:r>
      <w:r>
        <w:t xml:space="preserve"> </w:t>
      </w:r>
      <w:r>
        <w:t xml:space="preserve">9 (November): 540.</w:t>
      </w:r>
      <w:r>
        <w:t xml:space="preserve"> </w:t>
      </w:r>
      <w:hyperlink r:id="rId188">
        <w:r>
          <w:rPr>
            <w:rStyle w:val="Hyperlink"/>
          </w:rPr>
          <w:t xml:space="preserve">https://doi.org/10.1186/1471-2164-9-540</w:t>
        </w:r>
      </w:hyperlink>
      <w:r>
        <w:t xml:space="preserve">.</w:t>
      </w:r>
    </w:p>
    <w:bookmarkEnd w:id="189"/>
    <w:bookmarkStart w:id="191" w:name="ref-Gunaalan2020-sf"/>
    <w:p>
      <w:pPr>
        <w:pStyle w:val="Bibliography"/>
      </w:pPr>
      <w:r>
        <w:t xml:space="preserve">Gunaalan, Kuddithamby, Elena Fabbri, and Marco Capolupo. 2020.</w:t>
      </w:r>
      <w:r>
        <w:t xml:space="preserve"> </w:t>
      </w:r>
      <w:r>
        <w:t xml:space="preserve">“The Hidden Threat of Plastic Leachates: A Critical Review on Their Impacts on Aquatic Organisms.”</w:t>
      </w:r>
      <w:r>
        <w:t xml:space="preserve"> </w:t>
      </w:r>
      <w:r>
        <w:rPr>
          <w:i/>
          <w:iCs/>
        </w:rPr>
        <w:t xml:space="preserve">Water Research</w:t>
      </w:r>
      <w:r>
        <w:t xml:space="preserve"> </w:t>
      </w:r>
      <w:r>
        <w:t xml:space="preserve">184 (October): 116170.</w:t>
      </w:r>
      <w:r>
        <w:t xml:space="preserve"> </w:t>
      </w:r>
      <w:hyperlink r:id="rId190">
        <w:r>
          <w:rPr>
            <w:rStyle w:val="Hyperlink"/>
          </w:rPr>
          <w:t xml:space="preserve">https://doi.org/10.1016/j.watres.2020.116170</w:t>
        </w:r>
      </w:hyperlink>
      <w:r>
        <w:t xml:space="preserve">.</w:t>
      </w:r>
    </w:p>
    <w:bookmarkEnd w:id="191"/>
    <w:bookmarkStart w:id="193" w:name="ref-Hahladakis2018-vi"/>
    <w:p>
      <w:pPr>
        <w:pStyle w:val="Bibliography"/>
      </w:pPr>
      <w:r>
        <w:t xml:space="preserve">Hahladakis, John N, Costas A Velis, Roland Weber, Eleni Iacovidou, and Phil Purnell. 2018.</w:t>
      </w:r>
      <w:r>
        <w:t xml:space="preserve"> </w:t>
      </w:r>
      <w:r>
        <w:t xml:space="preserve">“An Overview of Chemical Additives Present in Plastics: Migration, Release, Fate and Environmental Impact During Their Use, Disposal and Recycling.”</w:t>
      </w:r>
      <w:r>
        <w:t xml:space="preserve"> </w:t>
      </w:r>
      <w:r>
        <w:rPr>
          <w:i/>
          <w:iCs/>
        </w:rPr>
        <w:t xml:space="preserve">Journal of Hazardous Materials</w:t>
      </w:r>
      <w:r>
        <w:t xml:space="preserve"> </w:t>
      </w:r>
      <w:r>
        <w:t xml:space="preserve">344 (February): 179–99.</w:t>
      </w:r>
      <w:r>
        <w:t xml:space="preserve"> </w:t>
      </w:r>
      <w:hyperlink r:id="rId192">
        <w:r>
          <w:rPr>
            <w:rStyle w:val="Hyperlink"/>
          </w:rPr>
          <w:t xml:space="preserve">https://doi.org/10.1016/j.jhazmat.2017.10.014</w:t>
        </w:r>
      </w:hyperlink>
      <w:r>
        <w:t xml:space="preserve">.</w:t>
      </w:r>
    </w:p>
    <w:bookmarkEnd w:id="193"/>
    <w:bookmarkStart w:id="195" w:name="ref-Hambleton2018-gf"/>
    <w:p>
      <w:pPr>
        <w:pStyle w:val="Bibliography"/>
      </w:pPr>
      <w:r>
        <w:t xml:space="preserve">Hambleton, Elizabeth, Victor A S Jones, Ira Maegele, David Vaskoff, Timo Sachsenheimer, and Annika Guse. 2018.</w:t>
      </w:r>
      <w:r>
        <w:t xml:space="preserve"> </w:t>
      </w:r>
      <w:r>
        <w:t xml:space="preserve">“Enhanced Stability of Non-Canonical</w:t>
      </w:r>
      <w:r>
        <w:t xml:space="preserve"> </w:t>
      </w:r>
      <w:r>
        <w:t xml:space="preserve">NPC2</w:t>
      </w:r>
      <w:r>
        <w:t xml:space="preserve"> </w:t>
      </w:r>
      <w:r>
        <w:t xml:space="preserve">in the Symbiosome Supports Coral-Algal Symbiosis.”</w:t>
      </w:r>
      <w:r>
        <w:t xml:space="preserve"> </w:t>
      </w:r>
      <w:r>
        <w:rPr>
          <w:i/>
          <w:iCs/>
        </w:rPr>
        <w:t xml:space="preserve">bioRxiv</w:t>
      </w:r>
      <w:r>
        <w:t xml:space="preserve">, August 25, 399766.</w:t>
      </w:r>
      <w:r>
        <w:t xml:space="preserve"> </w:t>
      </w:r>
      <w:hyperlink r:id="rId194">
        <w:r>
          <w:rPr>
            <w:rStyle w:val="Hyperlink"/>
          </w:rPr>
          <w:t xml:space="preserve">https://doi.org/10.1101/399766</w:t>
        </w:r>
      </w:hyperlink>
      <w:r>
        <w:t xml:space="preserve">.</w:t>
      </w:r>
    </w:p>
    <w:bookmarkEnd w:id="195"/>
    <w:bookmarkStart w:id="197" w:name="ref-Luo2022-af"/>
    <w:p>
      <w:pPr>
        <w:pStyle w:val="Bibliography"/>
      </w:pPr>
      <w:r>
        <w:t xml:space="preserve">Hermabessiere, Ludovic, Alexandre Dehaut, Ika Paul-Pont, et al. 2022.</w:t>
      </w:r>
      <w:r>
        <w:t xml:space="preserve"> </w:t>
      </w:r>
      <w:r>
        <w:t xml:space="preserve">“Occurrence and Effects of Plastic Additives on Marine Environments and Organisms: A Review.”</w:t>
      </w:r>
      <w:r>
        <w:t xml:space="preserve"> </w:t>
      </w:r>
      <w:r>
        <w:rPr>
          <w:i/>
          <w:iCs/>
        </w:rPr>
        <w:t xml:space="preserve">Chemosphere</w:t>
      </w:r>
      <w:r>
        <w:t xml:space="preserve"> </w:t>
      </w:r>
      <w:r>
        <w:t xml:space="preserve">182 (February): 781–93.</w:t>
      </w:r>
      <w:r>
        <w:t xml:space="preserve"> </w:t>
      </w:r>
      <w:hyperlink r:id="rId196">
        <w:r>
          <w:rPr>
            <w:rStyle w:val="Hyperlink"/>
          </w:rPr>
          <w:t xml:space="preserve">https://doi.org/10.1016/j.chemosphere.2017.05.096</w:t>
        </w:r>
      </w:hyperlink>
      <w:r>
        <w:t xml:space="preserve">.</w:t>
      </w:r>
    </w:p>
    <w:bookmarkEnd w:id="197"/>
    <w:bookmarkStart w:id="199" w:name="ref-Heyward2012-ao"/>
    <w:p>
      <w:pPr>
        <w:pStyle w:val="Bibliography"/>
      </w:pPr>
      <w:r>
        <w:t xml:space="preserve">Heyward, A J, and A P Negri. 2012.</w:t>
      </w:r>
      <w:r>
        <w:t xml:space="preserve"> </w:t>
      </w:r>
      <w:r>
        <w:t xml:space="preserve">“Turbulence, Cleavage, and the Naked Embryo: A Case for Coral Clones.”</w:t>
      </w:r>
      <w:r>
        <w:t xml:space="preserve"> </w:t>
      </w:r>
      <w:r>
        <w:rPr>
          <w:i/>
          <w:iCs/>
        </w:rPr>
        <w:t xml:space="preserve">Science (New York, N.Y.)</w:t>
      </w:r>
      <w:r>
        <w:t xml:space="preserve"> </w:t>
      </w:r>
      <w:r>
        <w:t xml:space="preserve">335 (March): 1064.</w:t>
      </w:r>
      <w:r>
        <w:t xml:space="preserve"> </w:t>
      </w:r>
      <w:hyperlink r:id="rId198">
        <w:r>
          <w:rPr>
            <w:rStyle w:val="Hyperlink"/>
          </w:rPr>
          <w:t xml:space="preserve">https://doi.org/10.1126/science.1216055</w:t>
        </w:r>
      </w:hyperlink>
      <w:r>
        <w:t xml:space="preserve">.</w:t>
      </w:r>
    </w:p>
    <w:bookmarkEnd w:id="199"/>
    <w:bookmarkStart w:id="201" w:name="ref-Huffmyer2023-wh"/>
    <w:p>
      <w:pPr>
        <w:pStyle w:val="Bibliography"/>
      </w:pPr>
      <w:r>
        <w:t xml:space="preserve">Huffmyer, Ariana S, Kevin H Wong, Danielle M Becker, Emma Strand, Tali Mass, and Hollie M Putnam. 2023.</w:t>
      </w:r>
      <w:r>
        <w:t xml:space="preserve"> </w:t>
      </w:r>
      <w:r>
        <w:t xml:space="preserve">“Multi-Omic Analysis of Coral Development Elucidates the Metabolic Transitions from Parental Provisioning to Endosymbiotic Nutritional Exchange.”</w:t>
      </w:r>
      <w:r>
        <w:t xml:space="preserve"> </w:t>
      </w:r>
      <w:r>
        <w:rPr>
          <w:i/>
          <w:iCs/>
        </w:rPr>
        <w:t xml:space="preserve">bioRxiv</w:t>
      </w:r>
      <w:r>
        <w:t xml:space="preserve">, ahead of print, March 23.</w:t>
      </w:r>
      <w:r>
        <w:t xml:space="preserve"> </w:t>
      </w:r>
      <w:hyperlink r:id="rId200">
        <w:r>
          <w:rPr>
            <w:rStyle w:val="Hyperlink"/>
          </w:rPr>
          <w:t xml:space="preserve">https://doi.org/10.1101/2023.03.20.533475</w:t>
        </w:r>
      </w:hyperlink>
      <w:r>
        <w:t xml:space="preserve">.</w:t>
      </w:r>
    </w:p>
    <w:bookmarkEnd w:id="201"/>
    <w:bookmarkStart w:id="203" w:name="ref-Huffmyer2025-wu"/>
    <w:p>
      <w:pPr>
        <w:pStyle w:val="Bibliography"/>
      </w:pPr>
      <w:r>
        <w:t xml:space="preserve">Huffmyer, Ariana S, Kevin H Wong, Danielle M Becker, Emma Strand, Tali Mass, and Hollie M Putnam. 2025.</w:t>
      </w:r>
      <w:r>
        <w:t xml:space="preserve"> </w:t>
      </w:r>
      <w:r>
        <w:t xml:space="preserve">“Shifts and Critical Periods in Coral Metabolism Reveal Energetic Vulnerability During Development.”</w:t>
      </w:r>
      <w:r>
        <w:t xml:space="preserve"> </w:t>
      </w:r>
      <w:r>
        <w:rPr>
          <w:i/>
          <w:iCs/>
        </w:rPr>
        <w:t xml:space="preserve">Current Biology</w:t>
      </w:r>
      <w:r>
        <w:t xml:space="preserve"> </w:t>
      </w:r>
      <w:r>
        <w:t xml:space="preserve">35 (June): 2858–2871.e6.</w:t>
      </w:r>
      <w:r>
        <w:t xml:space="preserve"> </w:t>
      </w:r>
      <w:hyperlink r:id="rId202">
        <w:r>
          <w:rPr>
            <w:rStyle w:val="Hyperlink"/>
          </w:rPr>
          <w:t xml:space="preserve">https://doi.org/10.1016/j.cub.2025.05.013</w:t>
        </w:r>
      </w:hyperlink>
      <w:r>
        <w:t xml:space="preserve">.</w:t>
      </w:r>
    </w:p>
    <w:bookmarkEnd w:id="203"/>
    <w:bookmarkStart w:id="205" w:name="ref-Isa2025-ht"/>
    <w:p>
      <w:pPr>
        <w:pStyle w:val="Bibliography"/>
      </w:pPr>
      <w:r>
        <w:t xml:space="preserve">Isa, Valerio, Francesco Saliu, Alessandro Becchi, et al. 2025.</w:t>
      </w:r>
      <w:r>
        <w:t xml:space="preserve"> </w:t>
      </w:r>
      <w:r>
        <w:t xml:space="preserve">“Impacts of Microplastics on Reef-Building Corals: Disentangling the Contribution of the Chain Scission Products Released by Weathering.”</w:t>
      </w:r>
      <w:r>
        <w:t xml:space="preserve"> </w:t>
      </w:r>
      <w:r>
        <w:rPr>
          <w:i/>
          <w:iCs/>
        </w:rPr>
        <w:t xml:space="preserve">The Science of the Total Environment</w:t>
      </w:r>
      <w:r>
        <w:t xml:space="preserve"> </w:t>
      </w:r>
      <w:r>
        <w:t xml:space="preserve">975 (May): 179239.</w:t>
      </w:r>
      <w:r>
        <w:t xml:space="preserve"> </w:t>
      </w:r>
      <w:hyperlink r:id="rId204">
        <w:r>
          <w:rPr>
            <w:rStyle w:val="Hyperlink"/>
          </w:rPr>
          <w:t xml:space="preserve">https://doi.org/10.1016/j.scitotenv.2025.179239</w:t>
        </w:r>
      </w:hyperlink>
      <w:r>
        <w:t xml:space="preserve">.</w:t>
      </w:r>
    </w:p>
    <w:bookmarkEnd w:id="205"/>
    <w:bookmarkStart w:id="207" w:name="ref-Isa2024-le"/>
    <w:p>
      <w:pPr>
        <w:pStyle w:val="Bibliography"/>
      </w:pPr>
      <w:r>
        <w:t xml:space="preserve">Isa, Valerio, Davide Seveso, Luca Diamante, et al. 2024.</w:t>
      </w:r>
      <w:r>
        <w:t xml:space="preserve"> </w:t>
      </w:r>
      <w:r>
        <w:t xml:space="preserve">“Physical and Cellular Impact of Environmentally Relevant Microplastic Exposure on Thermally Challenged Pocillopora Damicornis (Cnidaria, Scleractinia).”</w:t>
      </w:r>
      <w:r>
        <w:t xml:space="preserve"> </w:t>
      </w:r>
      <w:r>
        <w:rPr>
          <w:i/>
          <w:iCs/>
        </w:rPr>
        <w:t xml:space="preserve">The Science of the Total Environment</w:t>
      </w:r>
      <w:r>
        <w:t xml:space="preserve"> </w:t>
      </w:r>
      <w:r>
        <w:t xml:space="preserve">918 (February): 170651.</w:t>
      </w:r>
      <w:r>
        <w:t xml:space="preserve"> </w:t>
      </w:r>
      <w:hyperlink r:id="rId206">
        <w:r>
          <w:rPr>
            <w:rStyle w:val="Hyperlink"/>
          </w:rPr>
          <w:t xml:space="preserve">https://doi.org/10.1016/j.scitotenv.2024.170651</w:t>
        </w:r>
      </w:hyperlink>
      <w:r>
        <w:t xml:space="preserve">.</w:t>
      </w:r>
    </w:p>
    <w:bookmarkEnd w:id="207"/>
    <w:bookmarkStart w:id="209" w:name="ref-Jackson2020-ve"/>
    <w:p>
      <w:pPr>
        <w:pStyle w:val="Bibliography"/>
      </w:pPr>
      <w:r>
        <w:t xml:space="preserve">Jackson, Rebecca L, Albert J Gabric, Roger Cropp, and Matthew T Woodhouse. 2020.</w:t>
      </w:r>
      <w:r>
        <w:t xml:space="preserve"> </w:t>
      </w:r>
      <w:r>
        <w:t xml:space="preserve">“Dimethylsulfide (</w:t>
      </w:r>
      <w:r>
        <w:t xml:space="preserve">DMS</w:t>
      </w:r>
      <w:r>
        <w:t xml:space="preserve">), Marine Biogenic Aerosols and the Ecophysiology of Coral Reefs.”</w:t>
      </w:r>
      <w:r>
        <w:t xml:space="preserve"> </w:t>
      </w:r>
      <w:r>
        <w:rPr>
          <w:i/>
          <w:iCs/>
        </w:rPr>
        <w:t xml:space="preserve">Biogeosciences</w:t>
      </w:r>
      <w:r>
        <w:t xml:space="preserve"> </w:t>
      </w:r>
      <w:r>
        <w:t xml:space="preserve">17 (April): 2181–204.</w:t>
      </w:r>
      <w:r>
        <w:t xml:space="preserve"> </w:t>
      </w:r>
      <w:hyperlink r:id="rId208">
        <w:r>
          <w:rPr>
            <w:rStyle w:val="Hyperlink"/>
          </w:rPr>
          <w:t xml:space="preserve">https://doi.org/10.5194/bg-17-2181-2020</w:t>
        </w:r>
      </w:hyperlink>
      <w:r>
        <w:t xml:space="preserve">.</w:t>
      </w:r>
    </w:p>
    <w:bookmarkEnd w:id="209"/>
    <w:bookmarkStart w:id="211" w:name="ref-Jambeck2015-us"/>
    <w:p>
      <w:pPr>
        <w:pStyle w:val="Bibliography"/>
      </w:pPr>
      <w:r>
        <w:t xml:space="preserve">Jambeck, Jenna R, Roland Geyer, Chris Wilcox, et al. 2015.</w:t>
      </w:r>
      <w:r>
        <w:t xml:space="preserve"> </w:t>
      </w:r>
      <w:r>
        <w:t xml:space="preserve">“Marine Pollution. Plastic Waste Inputs from Land into the Ocean.”</w:t>
      </w:r>
      <w:r>
        <w:t xml:space="preserve"> </w:t>
      </w:r>
      <w:r>
        <w:rPr>
          <w:i/>
          <w:iCs/>
        </w:rPr>
        <w:t xml:space="preserve">Science (New York, N.Y.)</w:t>
      </w:r>
      <w:r>
        <w:t xml:space="preserve"> </w:t>
      </w:r>
      <w:r>
        <w:t xml:space="preserve">347 (February): 768–71.</w:t>
      </w:r>
      <w:r>
        <w:t xml:space="preserve"> </w:t>
      </w:r>
      <w:hyperlink r:id="rId210">
        <w:r>
          <w:rPr>
            <w:rStyle w:val="Hyperlink"/>
          </w:rPr>
          <w:t xml:space="preserve">https://doi.org/10.1126/science.1260352</w:t>
        </w:r>
      </w:hyperlink>
      <w:r>
        <w:t xml:space="preserve">.</w:t>
      </w:r>
    </w:p>
    <w:bookmarkEnd w:id="211"/>
    <w:bookmarkStart w:id="213" w:name="ref-Janvier1995-bu"/>
    <w:p>
      <w:pPr>
        <w:pStyle w:val="Bibliography"/>
      </w:pPr>
      <w:r>
        <w:t xml:space="preserve">Janvier, M, and P A Grimont. 1995.</w:t>
      </w:r>
      <w:r>
        <w:t xml:space="preserve"> </w:t>
      </w:r>
      <w:r>
        <w:t xml:space="preserve">“The Genus Methylophaga, a New Line of Descent Within Phylogenetic Branch Gamma of Proteobacteria.”</w:t>
      </w:r>
      <w:r>
        <w:t xml:space="preserve"> </w:t>
      </w:r>
      <w:r>
        <w:rPr>
          <w:i/>
          <w:iCs/>
        </w:rPr>
        <w:t xml:space="preserve">Research in Microbiology</w:t>
      </w:r>
      <w:r>
        <w:t xml:space="preserve"> </w:t>
      </w:r>
      <w:r>
        <w:t xml:space="preserve">146 (September): 543–50.</w:t>
      </w:r>
      <w:r>
        <w:t xml:space="preserve"> </w:t>
      </w:r>
      <w:hyperlink r:id="rId212">
        <w:r>
          <w:rPr>
            <w:rStyle w:val="Hyperlink"/>
          </w:rPr>
          <w:t xml:space="preserve">https://doi.org/10.1016/0923-2508(96)80560-2</w:t>
        </w:r>
      </w:hyperlink>
      <w:r>
        <w:t xml:space="preserve">.</w:t>
      </w:r>
    </w:p>
    <w:bookmarkEnd w:id="213"/>
    <w:bookmarkStart w:id="215" w:name="ref-Jimenez-Guri2023-uu"/>
    <w:p>
      <w:pPr>
        <w:pStyle w:val="Bibliography"/>
      </w:pPr>
      <w:r>
        <w:t xml:space="preserve">Jimenez-Guri, Eva, Carola Murano, Periklis Paganos, and Maria Ina Arnone. 2023.</w:t>
      </w:r>
      <w:r>
        <w:t xml:space="preserve"> </w:t>
      </w:r>
      <w:r>
        <w:t xml:space="preserve">“</w:t>
      </w:r>
      <w:r>
        <w:t xml:space="preserve">PVC</w:t>
      </w:r>
      <w:r>
        <w:t xml:space="preserve"> </w:t>
      </w:r>
      <w:r>
        <w:t xml:space="preserve">Pellet Leachates Affect Adult Immune System and Embryonic Development but Not Reproductive Capacity in the Sea Urchin</w:t>
      </w:r>
      <w:r>
        <w:t xml:space="preserve"> </w:t>
      </w:r>
      <w:r>
        <w:rPr>
          <w:i/>
          <w:iCs/>
        </w:rPr>
        <w:t xml:space="preserve">Paracentrotus Lividus</w:t>
      </w:r>
      <w:r>
        <w:t xml:space="preserve">.”</w:t>
      </w:r>
      <w:r>
        <w:t xml:space="preserve"> </w:t>
      </w:r>
      <w:r>
        <w:rPr>
          <w:i/>
          <w:iCs/>
        </w:rPr>
        <w:t xml:space="preserve">Marine Pollution Bulletin</w:t>
      </w:r>
      <w:r>
        <w:t xml:space="preserve"> </w:t>
      </w:r>
      <w:r>
        <w:t xml:space="preserve">196 (November): 115604.</w:t>
      </w:r>
      <w:r>
        <w:t xml:space="preserve"> </w:t>
      </w:r>
      <w:hyperlink r:id="rId214">
        <w:r>
          <w:rPr>
            <w:rStyle w:val="Hyperlink"/>
          </w:rPr>
          <w:t xml:space="preserve">https://doi.org/10.1016/j.marpolbul.2023.115604</w:t>
        </w:r>
      </w:hyperlink>
      <w:r>
        <w:t xml:space="preserve">.</w:t>
      </w:r>
    </w:p>
    <w:bookmarkEnd w:id="215"/>
    <w:bookmarkStart w:id="217" w:name="ref-Kim2019-hb"/>
    <w:p>
      <w:pPr>
        <w:pStyle w:val="Bibliography"/>
      </w:pPr>
      <w:r>
        <w:t xml:space="preserve">Kim, Daehwan, Joseph M Paggi, Chanhee Park, Christopher Bennett, and Steven L Salzberg. 2019.</w:t>
      </w:r>
      <w:r>
        <w:t xml:space="preserve"> </w:t>
      </w:r>
      <w:r>
        <w:t xml:space="preserve">“Graph-Based Genome Alignment and Genotyping with</w:t>
      </w:r>
      <w:r>
        <w:t xml:space="preserve"> </w:t>
      </w:r>
      <w:r>
        <w:t xml:space="preserve">HISAT2</w:t>
      </w:r>
      <w:r>
        <w:t xml:space="preserve"> </w:t>
      </w:r>
      <w:r>
        <w:t xml:space="preserve">and</w:t>
      </w:r>
      <w:r>
        <w:t xml:space="preserve"> </w:t>
      </w:r>
      <w:r>
        <w:t xml:space="preserve">HISAT</w:t>
      </w:r>
      <w:r>
        <w:t xml:space="preserve">-Genotype.”</w:t>
      </w:r>
      <w:r>
        <w:t xml:space="preserve"> </w:t>
      </w:r>
      <w:r>
        <w:rPr>
          <w:i/>
          <w:iCs/>
        </w:rPr>
        <w:t xml:space="preserve">Nature Biotechnology</w:t>
      </w:r>
      <w:r>
        <w:t xml:space="preserve"> </w:t>
      </w:r>
      <w:r>
        <w:t xml:space="preserve">37 (August): 907–15.</w:t>
      </w:r>
      <w:r>
        <w:t xml:space="preserve"> </w:t>
      </w:r>
      <w:hyperlink r:id="rId216">
        <w:r>
          <w:rPr>
            <w:rStyle w:val="Hyperlink"/>
          </w:rPr>
          <w:t xml:space="preserve">https://doi.org/10.1038/s41587-019-0201-4</w:t>
        </w:r>
      </w:hyperlink>
      <w:r>
        <w:t xml:space="preserve">.</w:t>
      </w:r>
    </w:p>
    <w:bookmarkEnd w:id="217"/>
    <w:bookmarkStart w:id="219" w:name="ref-Kim2007-nb"/>
    <w:p>
      <w:pPr>
        <w:pStyle w:val="Bibliography"/>
      </w:pPr>
      <w:r>
        <w:t xml:space="preserve">Kim, Hee Gon, Nina V Doronina, Yuri A Trotsenko, and Si Wouk Kim. 2007.</w:t>
      </w:r>
      <w:r>
        <w:t xml:space="preserve"> </w:t>
      </w:r>
      <w:r>
        <w:t xml:space="preserve">“Methylophaga Aminisulfidivorans Sp. Nov., a Restricted Facultatively Methylotrophic Marine Bacterium.”</w:t>
      </w:r>
      <w:r>
        <w:t xml:space="preserve"> </w:t>
      </w:r>
      <w:r>
        <w:rPr>
          <w:i/>
          <w:iCs/>
        </w:rPr>
        <w:t xml:space="preserve">International Journal of Systematic and Evolutionary Microbiology</w:t>
      </w:r>
      <w:r>
        <w:t xml:space="preserve"> </w:t>
      </w:r>
      <w:r>
        <w:t xml:space="preserve">57 (September): 2096–101.</w:t>
      </w:r>
      <w:r>
        <w:t xml:space="preserve"> </w:t>
      </w:r>
      <w:hyperlink r:id="rId218">
        <w:r>
          <w:rPr>
            <w:rStyle w:val="Hyperlink"/>
          </w:rPr>
          <w:t xml:space="preserve">https://doi.org/10.1099/ijs.0.65139-0</w:t>
        </w:r>
      </w:hyperlink>
      <w:r>
        <w:t xml:space="preserve">.</w:t>
      </w:r>
    </w:p>
    <w:bookmarkEnd w:id="219"/>
    <w:bookmarkStart w:id="221" w:name="ref-Krober2019-ci"/>
    <w:p>
      <w:pPr>
        <w:pStyle w:val="Bibliography"/>
      </w:pPr>
      <w:r>
        <w:t xml:space="preserve">Kröber, Eileen, and Hendrik Schäfer. 2019.</w:t>
      </w:r>
      <w:r>
        <w:t xml:space="preserve"> </w:t>
      </w:r>
      <w:r>
        <w:t xml:space="preserve">“Identification of Proteins and Genes Expressed by Methylophaga Thiooxydans During Growth on Dimethylsulfide and Their Presence in Other Members of the Genus.”</w:t>
      </w:r>
      <w:r>
        <w:t xml:space="preserve"> </w:t>
      </w:r>
      <w:r>
        <w:rPr>
          <w:i/>
          <w:iCs/>
        </w:rPr>
        <w:t xml:space="preserve">Frontiers in Microbiology</w:t>
      </w:r>
      <w:r>
        <w:t xml:space="preserve"> </w:t>
      </w:r>
      <w:r>
        <w:t xml:space="preserve">10 (May): 1132.</w:t>
      </w:r>
      <w:r>
        <w:t xml:space="preserve"> </w:t>
      </w:r>
      <w:hyperlink r:id="rId220">
        <w:r>
          <w:rPr>
            <w:rStyle w:val="Hyperlink"/>
          </w:rPr>
          <w:t xml:space="preserve">https://doi.org/10.3389/fmicb.2019.01132</w:t>
        </w:r>
      </w:hyperlink>
      <w:r>
        <w:t xml:space="preserve">.</w:t>
      </w:r>
    </w:p>
    <w:bookmarkEnd w:id="221"/>
    <w:bookmarkStart w:id="223" w:name="ref-Lamb2018-be"/>
    <w:p>
      <w:pPr>
        <w:pStyle w:val="Bibliography"/>
      </w:pPr>
      <w:r>
        <w:t xml:space="preserve">Lamb, Joleah B, Bette L Willis, Evan A Fiorenza, et al. 2018.</w:t>
      </w:r>
      <w:r>
        <w:t xml:space="preserve"> </w:t>
      </w:r>
      <w:r>
        <w:t xml:space="preserve">“Plastic Waste Associated with Disease on Coral Reefs.”</w:t>
      </w:r>
      <w:r>
        <w:t xml:space="preserve"> </w:t>
      </w:r>
      <w:r>
        <w:rPr>
          <w:i/>
          <w:iCs/>
        </w:rPr>
        <w:t xml:space="preserve">Science (New York, N.Y.)</w:t>
      </w:r>
      <w:r>
        <w:t xml:space="preserve"> </w:t>
      </w:r>
      <w:r>
        <w:t xml:space="preserve">359 (January): 460–62.</w:t>
      </w:r>
      <w:r>
        <w:t xml:space="preserve"> </w:t>
      </w:r>
      <w:hyperlink r:id="rId222">
        <w:r>
          <w:rPr>
            <w:rStyle w:val="Hyperlink"/>
          </w:rPr>
          <w:t xml:space="preserve">https://doi.org/10.1126/science.aar3320</w:t>
        </w:r>
      </w:hyperlink>
      <w:r>
        <w:t xml:space="preserve">.</w:t>
      </w:r>
    </w:p>
    <w:bookmarkEnd w:id="223"/>
    <w:bookmarkStart w:id="225" w:name="ref-Langfelder2008-wq"/>
    <w:p>
      <w:pPr>
        <w:pStyle w:val="Bibliography"/>
      </w:pPr>
      <w:r>
        <w:t xml:space="preserve">Langfelder, Peter, and Steve Horvath. 2008.</w:t>
      </w:r>
      <w:r>
        <w:t xml:space="preserve"> </w:t>
      </w:r>
      <w:r>
        <w:t xml:space="preserve">“</w:t>
      </w:r>
      <w:r>
        <w:t xml:space="preserve">WGCNA</w:t>
      </w:r>
      <w:r>
        <w:t xml:space="preserve">: An</w:t>
      </w:r>
      <w:r>
        <w:t xml:space="preserve"> </w:t>
      </w:r>
      <w:r>
        <w:t xml:space="preserve">R</w:t>
      </w:r>
      <w:r>
        <w:t xml:space="preserve"> </w:t>
      </w:r>
      <w:r>
        <w:t xml:space="preserve">Package for Weighted Correlation Network Analysis.”</w:t>
      </w:r>
      <w:r>
        <w:t xml:space="preserve"> </w:t>
      </w:r>
      <w:r>
        <w:rPr>
          <w:i/>
          <w:iCs/>
        </w:rPr>
        <w:t xml:space="preserve">BMC Bioinformatics</w:t>
      </w:r>
      <w:r>
        <w:t xml:space="preserve"> </w:t>
      </w:r>
      <w:r>
        <w:t xml:space="preserve">9 (December): 559.</w:t>
      </w:r>
      <w:r>
        <w:t xml:space="preserve"> </w:t>
      </w:r>
      <w:hyperlink r:id="rId224">
        <w:r>
          <w:rPr>
            <w:rStyle w:val="Hyperlink"/>
          </w:rPr>
          <w:t xml:space="preserve">https://doi.org/10.1186/1471-2105-9-559</w:t>
        </w:r>
      </w:hyperlink>
      <w:r>
        <w:t xml:space="preserve">.</w:t>
      </w:r>
    </w:p>
    <w:bookmarkEnd w:id="225"/>
    <w:bookmarkStart w:id="227" w:name="ref-Law1991-ij"/>
    <w:p>
      <w:pPr>
        <w:pStyle w:val="Bibliography"/>
      </w:pPr>
      <w:r>
        <w:t xml:space="preserve">Law, R J, T W Fileman, and P Matthiessen. 1991.</w:t>
      </w:r>
      <w:r>
        <w:t xml:space="preserve"> </w:t>
      </w:r>
      <w:r>
        <w:t xml:space="preserve">“Phthalate Esters and Other Industrial Organic Chemicals in the North and Irish Seas.”</w:t>
      </w:r>
      <w:r>
        <w:t xml:space="preserve"> </w:t>
      </w:r>
      <w:r>
        <w:rPr>
          <w:i/>
          <w:iCs/>
        </w:rPr>
        <w:t xml:space="preserve">Water Science and Technology: A Journal of the International Association on Water Pollution Research</w:t>
      </w:r>
      <w:r>
        <w:t xml:space="preserve"> </w:t>
      </w:r>
      <w:r>
        <w:t xml:space="preserve">24 (November): 127–34.</w:t>
      </w:r>
      <w:r>
        <w:t xml:space="preserve"> </w:t>
      </w:r>
      <w:hyperlink r:id="rId226">
        <w:r>
          <w:rPr>
            <w:rStyle w:val="Hyperlink"/>
          </w:rPr>
          <w:t xml:space="preserve">https://doi.org/10.2166/wst.1991.0283</w:t>
        </w:r>
      </w:hyperlink>
      <w:r>
        <w:t xml:space="preserve">.</w:t>
      </w:r>
    </w:p>
    <w:bookmarkEnd w:id="227"/>
    <w:bookmarkStart w:id="229" w:name="ref-Love2014-dv"/>
    <w:p>
      <w:pPr>
        <w:pStyle w:val="Bibliography"/>
      </w:pPr>
      <w:r>
        <w:t xml:space="preserve">Love, Michael I, Wolfgang Huber, and Simon Anders. 2014.</w:t>
      </w:r>
      <w:r>
        <w:t xml:space="preserve"> </w:t>
      </w:r>
      <w:r>
        <w:t xml:space="preserve">“Moderated Estimation of Fold Change and Dispersion for</w:t>
      </w:r>
      <w:r>
        <w:t xml:space="preserve"> </w:t>
      </w:r>
      <w:r>
        <w:t xml:space="preserve">RNA</w:t>
      </w:r>
      <w:r>
        <w:t xml:space="preserve">-Seq Data with</w:t>
      </w:r>
      <w:r>
        <w:t xml:space="preserve"> </w:t>
      </w:r>
      <w:r>
        <w:t xml:space="preserve">DESeq2</w:t>
      </w:r>
      <w:r>
        <w:t xml:space="preserve">.”</w:t>
      </w:r>
      <w:r>
        <w:t xml:space="preserve"> </w:t>
      </w:r>
      <w:r>
        <w:rPr>
          <w:i/>
          <w:iCs/>
        </w:rPr>
        <w:t xml:space="preserve">Genome Biology</w:t>
      </w:r>
      <w:r>
        <w:t xml:space="preserve"> </w:t>
      </w:r>
      <w:r>
        <w:t xml:space="preserve">15 (December): 550.</w:t>
      </w:r>
      <w:r>
        <w:t xml:space="preserve"> </w:t>
      </w:r>
      <w:hyperlink r:id="rId228">
        <w:r>
          <w:rPr>
            <w:rStyle w:val="Hyperlink"/>
          </w:rPr>
          <w:t xml:space="preserve">https://doi.org/10.1186/s13059-014-0550-8</w:t>
        </w:r>
      </w:hyperlink>
      <w:r>
        <w:t xml:space="preserve">.</w:t>
      </w:r>
    </w:p>
    <w:bookmarkEnd w:id="229"/>
    <w:bookmarkStart w:id="231" w:name="ref-Lynch2022-mb"/>
    <w:p>
      <w:pPr>
        <w:pStyle w:val="Bibliography"/>
      </w:pPr>
      <w:r>
        <w:t xml:space="preserve">Lynch, Jennifer M, Katrina Knauer, and Katherine R Shaw. 2022.</w:t>
      </w:r>
      <w:r>
        <w:t xml:space="preserve"> </w:t>
      </w:r>
      <w:r>
        <w:rPr>
          <w:i/>
          <w:iCs/>
        </w:rPr>
        <w:t xml:space="preserve">Plastic Additives in the Ocean</w:t>
      </w:r>
      <w:r>
        <w:t xml:space="preserve">. 1st ed. Edited by Anthony L Andrady. Wiley.</w:t>
      </w:r>
      <w:r>
        <w:t xml:space="preserve"> </w:t>
      </w:r>
      <w:hyperlink r:id="rId230">
        <w:r>
          <w:rPr>
            <w:rStyle w:val="Hyperlink"/>
          </w:rPr>
          <w:t xml:space="preserve">https://doi.org/10.1002/9781119768432.ch2</w:t>
        </w:r>
      </w:hyperlink>
      <w:r>
        <w:t xml:space="preserve">.</w:t>
      </w:r>
    </w:p>
    <w:bookmarkEnd w:id="231"/>
    <w:bookmarkStart w:id="233" w:name="ref-MacLeod2021-ia"/>
    <w:p>
      <w:pPr>
        <w:pStyle w:val="Bibliography"/>
      </w:pPr>
      <w:r>
        <w:t xml:space="preserve">MacLeod, Matthew, Hans Peter H Arp, Mine B Tekman, and Annika Jahnke. 2021.</w:t>
      </w:r>
      <w:r>
        <w:t xml:space="preserve"> </w:t>
      </w:r>
      <w:r>
        <w:t xml:space="preserve">“The Global Threat from Plastic Pollution.”</w:t>
      </w:r>
      <w:r>
        <w:t xml:space="preserve"> </w:t>
      </w:r>
      <w:r>
        <w:rPr>
          <w:i/>
          <w:iCs/>
        </w:rPr>
        <w:t xml:space="preserve">Science (New York, N.Y.)</w:t>
      </w:r>
      <w:r>
        <w:t xml:space="preserve"> </w:t>
      </w:r>
      <w:r>
        <w:t xml:space="preserve">373 (July): 61–65.</w:t>
      </w:r>
      <w:r>
        <w:t xml:space="preserve"> </w:t>
      </w:r>
      <w:hyperlink r:id="rId232">
        <w:r>
          <w:rPr>
            <w:rStyle w:val="Hyperlink"/>
          </w:rPr>
          <w:t xml:space="preserve">https://doi.org/10.1126/science.abg5433</w:t>
        </w:r>
      </w:hyperlink>
      <w:r>
        <w:t xml:space="preserve">.</w:t>
      </w:r>
    </w:p>
    <w:bookmarkEnd w:id="233"/>
    <w:bookmarkStart w:id="235" w:name="ref-Mallick2021-iq"/>
    <w:p>
      <w:pPr>
        <w:pStyle w:val="Bibliography"/>
      </w:pPr>
      <w:r>
        <w:t xml:space="preserve">Mallick, Himel, Ali Rahnavard, Lauren J McIver, et al. 2021.</w:t>
      </w:r>
      <w:r>
        <w:t xml:space="preserve"> </w:t>
      </w:r>
      <w:r>
        <w:t xml:space="preserve">“Multivariable Association Discovery in Population-Scale Meta-Omics Studies.”</w:t>
      </w:r>
      <w:r>
        <w:t xml:space="preserve"> </w:t>
      </w:r>
      <w:r>
        <w:rPr>
          <w:i/>
          <w:iCs/>
        </w:rPr>
        <w:t xml:space="preserve">PLoS Computational Biology</w:t>
      </w:r>
      <w:r>
        <w:t xml:space="preserve"> </w:t>
      </w:r>
      <w:r>
        <w:t xml:space="preserve">17 (November): e1009442.</w:t>
      </w:r>
      <w:r>
        <w:t xml:space="preserve"> </w:t>
      </w:r>
      <w:hyperlink r:id="rId234">
        <w:r>
          <w:rPr>
            <w:rStyle w:val="Hyperlink"/>
          </w:rPr>
          <w:t xml:space="preserve">https://doi.org/10.1371/journal.pcbi.1009442</w:t>
        </w:r>
      </w:hyperlink>
      <w:r>
        <w:t xml:space="preserve">.</w:t>
      </w:r>
    </w:p>
    <w:bookmarkEnd w:id="235"/>
    <w:bookmarkStart w:id="237" w:name="ref-Maqbool2016-xs"/>
    <w:p>
      <w:pPr>
        <w:pStyle w:val="Bibliography"/>
      </w:pPr>
      <w:r>
        <w:t xml:space="preserve">Maqbool, Faheem, Sara Mostafalou, Haji Bahadar, and Mohammad Abdollahi. 2016.</w:t>
      </w:r>
      <w:r>
        <w:t xml:space="preserve"> </w:t>
      </w:r>
      <w:r>
        <w:t xml:space="preserve">“Review of Endocrine Disorders Associated with Environmental Toxicants and Possible Involved Mechanisms.”</w:t>
      </w:r>
      <w:r>
        <w:t xml:space="preserve"> </w:t>
      </w:r>
      <w:r>
        <w:rPr>
          <w:i/>
          <w:iCs/>
        </w:rPr>
        <w:t xml:space="preserve">Life Sciences</w:t>
      </w:r>
      <w:r>
        <w:t xml:space="preserve"> </w:t>
      </w:r>
      <w:r>
        <w:t xml:space="preserve">145 (January): 265–73.</w:t>
      </w:r>
      <w:r>
        <w:t xml:space="preserve"> </w:t>
      </w:r>
      <w:hyperlink r:id="rId236">
        <w:r>
          <w:rPr>
            <w:rStyle w:val="Hyperlink"/>
          </w:rPr>
          <w:t xml:space="preserve">https://doi.org/10.1016/j.lfs.2015.10.022</w:t>
        </w:r>
      </w:hyperlink>
      <w:r>
        <w:t xml:space="preserve">.</w:t>
      </w:r>
    </w:p>
    <w:bookmarkEnd w:id="237"/>
    <w:bookmarkStart w:id="239" w:name="ref-Mathieu2022-hz"/>
    <w:p>
      <w:pPr>
        <w:pStyle w:val="Bibliography"/>
      </w:pPr>
      <w:r>
        <w:t xml:space="preserve">Mathieu, C, and J Bednarek. 2022.</w:t>
      </w:r>
      <w:r>
        <w:t xml:space="preserve"> </w:t>
      </w:r>
      <w:r>
        <w:rPr>
          <w:i/>
          <w:iCs/>
        </w:rPr>
        <w:t xml:space="preserve">Survey of Phthalates in Washington State Waterbodies, 2021</w:t>
      </w:r>
      <w:r>
        <w:t xml:space="preserve">. Research Report Nos. 22-03-027. Washington State Department of Ecology, Olympia.</w:t>
      </w:r>
      <w:r>
        <w:t xml:space="preserve"> </w:t>
      </w:r>
      <w:hyperlink r:id="rId238">
        <w:r>
          <w:rPr>
            <w:rStyle w:val="Hyperlink"/>
          </w:rPr>
          <w:t xml:space="preserve">https://apps.ecology.wa.gov/publications/documents/2203027.pdf</w:t>
        </w:r>
      </w:hyperlink>
      <w:r>
        <w:t xml:space="preserve">.</w:t>
      </w:r>
    </w:p>
    <w:bookmarkEnd w:id="239"/>
    <w:bookmarkStart w:id="241" w:name="ref-McLachlan2001-jh"/>
    <w:p>
      <w:pPr>
        <w:pStyle w:val="Bibliography"/>
      </w:pPr>
      <w:r>
        <w:t xml:space="preserve">McLachlan, J A. 2001.</w:t>
      </w:r>
      <w:r>
        <w:t xml:space="preserve"> </w:t>
      </w:r>
      <w:r>
        <w:t xml:space="preserve">“Environmental Signaling: What Embryos and Evolution Teach Us about Endocrine Disrupting Chemicals.”</w:t>
      </w:r>
      <w:r>
        <w:t xml:space="preserve"> </w:t>
      </w:r>
      <w:r>
        <w:rPr>
          <w:i/>
          <w:iCs/>
        </w:rPr>
        <w:t xml:space="preserve">Endocrine Reviews</w:t>
      </w:r>
      <w:r>
        <w:t xml:space="preserve"> </w:t>
      </w:r>
      <w:r>
        <w:t xml:space="preserve">22 (June): 319–41.</w:t>
      </w:r>
      <w:r>
        <w:t xml:space="preserve"> </w:t>
      </w:r>
      <w:hyperlink r:id="rId240">
        <w:r>
          <w:rPr>
            <w:rStyle w:val="Hyperlink"/>
          </w:rPr>
          <w:t xml:space="preserve">https://doi.org/10.1210/edrv.22.3.0432</w:t>
        </w:r>
      </w:hyperlink>
      <w:r>
        <w:t xml:space="preserve">.</w:t>
      </w:r>
    </w:p>
    <w:bookmarkEnd w:id="241"/>
    <w:bookmarkStart w:id="243" w:name="ref-Meijer2021-ai"/>
    <w:p>
      <w:pPr>
        <w:pStyle w:val="Bibliography"/>
      </w:pPr>
      <w:r>
        <w:t xml:space="preserve">Meijer, Lourens J J, Tim van Emmerik, Ruud van der Ent, Christian Schmidt, and Laurent Lebreton. 2021.</w:t>
      </w:r>
      <w:r>
        <w:t xml:space="preserve"> </w:t>
      </w:r>
      <w:r>
        <w:t xml:space="preserve">“More Than 1000 Rivers Account for 80% of Global Riverine Plastic Emissions into the Ocean.”</w:t>
      </w:r>
      <w:r>
        <w:t xml:space="preserve"> </w:t>
      </w:r>
      <w:r>
        <w:rPr>
          <w:i/>
          <w:iCs/>
        </w:rPr>
        <w:t xml:space="preserve">Science Advances</w:t>
      </w:r>
      <w:r>
        <w:t xml:space="preserve"> </w:t>
      </w:r>
      <w:r>
        <w:t xml:space="preserve">7 (April): eaaz5803.</w:t>
      </w:r>
      <w:r>
        <w:t xml:space="preserve"> </w:t>
      </w:r>
      <w:hyperlink r:id="rId242">
        <w:r>
          <w:rPr>
            <w:rStyle w:val="Hyperlink"/>
          </w:rPr>
          <w:t xml:space="preserve">https://doi.org/10.1126/sciadv.aaz5803</w:t>
        </w:r>
      </w:hyperlink>
      <w:r>
        <w:t xml:space="preserve">.</w:t>
      </w:r>
    </w:p>
    <w:bookmarkEnd w:id="243"/>
    <w:bookmarkStart w:id="245" w:name="ref-Morgan2022-dg"/>
    <w:p>
      <w:pPr>
        <w:pStyle w:val="Bibliography"/>
      </w:pPr>
      <w:r>
        <w:t xml:space="preserve">Morgan, Michael B, James Ross, Joseph Ellwanger, et al. 2022.</w:t>
      </w:r>
      <w:r>
        <w:t xml:space="preserve"> </w:t>
      </w:r>
      <w:r>
        <w:t xml:space="preserve">“Sea Anemones Responding to Sex Hormones, Oxybenzone, and Benzyl Butyl Phthalate: Transcriptional Profiling and in Silico Modelling Provide Clues to Decipher Endocrine Disruption in Cnidarians.”</w:t>
      </w:r>
      <w:r>
        <w:t xml:space="preserve"> </w:t>
      </w:r>
      <w:r>
        <w:rPr>
          <w:i/>
          <w:iCs/>
        </w:rPr>
        <w:t xml:space="preserve">Frontiers in Genetics</w:t>
      </w:r>
      <w:r>
        <w:t xml:space="preserve"> </w:t>
      </w:r>
      <w:r>
        <w:t xml:space="preserve">12.</w:t>
      </w:r>
      <w:r>
        <w:t xml:space="preserve"> </w:t>
      </w:r>
      <w:hyperlink r:id="rId244">
        <w:r>
          <w:rPr>
            <w:rStyle w:val="Hyperlink"/>
          </w:rPr>
          <w:t xml:space="preserve">https://www.frontiersin.org/articles/10.3389/fgene.2021.793306</w:t>
        </w:r>
      </w:hyperlink>
      <w:r>
        <w:t xml:space="preserve">.</w:t>
      </w:r>
    </w:p>
    <w:bookmarkEnd w:id="245"/>
    <w:bookmarkStart w:id="247" w:name="ref-Net2015-xo"/>
    <w:p>
      <w:pPr>
        <w:pStyle w:val="Bibliography"/>
      </w:pPr>
      <w:r>
        <w:t xml:space="preserve">Net, Sopheak, Anne Delmont, Richard Sempéré, Andrea Paluselli, and Baghdad Ouddane. 2015.</w:t>
      </w:r>
      <w:r>
        <w:t xml:space="preserve"> </w:t>
      </w:r>
      <w:r>
        <w:t xml:space="preserve">“Reliable Quantification of Phthalates in Environmental Matrices (Air, Water, Sludge, Sediment and Soil): A Review.”</w:t>
      </w:r>
      <w:r>
        <w:t xml:space="preserve"> </w:t>
      </w:r>
      <w:r>
        <w:rPr>
          <w:i/>
          <w:iCs/>
        </w:rPr>
        <w:t xml:space="preserve">The Science of the Total Environment</w:t>
      </w:r>
      <w:r>
        <w:t xml:space="preserve"> </w:t>
      </w:r>
      <w:r>
        <w:t xml:space="preserve">515-516 (May): 162–80.</w:t>
      </w:r>
      <w:r>
        <w:t xml:space="preserve"> </w:t>
      </w:r>
      <w:hyperlink r:id="rId246">
        <w:r>
          <w:rPr>
            <w:rStyle w:val="Hyperlink"/>
          </w:rPr>
          <w:t xml:space="preserve">https://doi.org/10.1016/j.scitotenv.2015.02.013</w:t>
        </w:r>
      </w:hyperlink>
      <w:r>
        <w:t xml:space="preserve">.</w:t>
      </w:r>
    </w:p>
    <w:bookmarkEnd w:id="247"/>
    <w:bookmarkStart w:id="249" w:name="ref-Neufeld2007-hk"/>
    <w:p>
      <w:pPr>
        <w:pStyle w:val="Bibliography"/>
      </w:pPr>
      <w:r>
        <w:t xml:space="preserve">Neufeld, Josh D, Hendrik Schäfer, Michael J Cox, Rich Boden, Ian R McDonald, and J Colin Murrell. 2007.</w:t>
      </w:r>
      <w:r>
        <w:t xml:space="preserve"> </w:t>
      </w:r>
      <w:r>
        <w:t xml:space="preserve">“Stable-Isotope Probing Implicates Methylophaga Spp and Novel Gammaproteobacteria in Marine Methanol and Methylamine Metabolism.”</w:t>
      </w:r>
      <w:r>
        <w:t xml:space="preserve"> </w:t>
      </w:r>
      <w:r>
        <w:rPr>
          <w:i/>
          <w:iCs/>
        </w:rPr>
        <w:t xml:space="preserve">The ISME Journal</w:t>
      </w:r>
      <w:r>
        <w:t xml:space="preserve"> </w:t>
      </w:r>
      <w:r>
        <w:t xml:space="preserve">1 (October): 480–91.</w:t>
      </w:r>
      <w:r>
        <w:t xml:space="preserve"> </w:t>
      </w:r>
      <w:hyperlink r:id="rId248">
        <w:r>
          <w:rPr>
            <w:rStyle w:val="Hyperlink"/>
          </w:rPr>
          <w:t xml:space="preserve">https://doi.org/10.1038/ismej.2007.65</w:t>
        </w:r>
      </w:hyperlink>
      <w:r>
        <w:t xml:space="preserve">.</w:t>
      </w:r>
    </w:p>
    <w:bookmarkEnd w:id="249"/>
    <w:bookmarkStart w:id="251" w:name="ref-O-Connor2007-pz"/>
    <w:p>
      <w:pPr>
        <w:pStyle w:val="Bibliography"/>
      </w:pPr>
      <w:r>
        <w:t xml:space="preserve">O’Connor, Mary I, John F Bruno, Steven D Gaines, et al. 2007.</w:t>
      </w:r>
      <w:r>
        <w:t xml:space="preserve"> </w:t>
      </w:r>
      <w:r>
        <w:t xml:space="preserve">“Temperature Control of Larval Dispersal and the Implications for Marine Ecology, Evolution, and Conservation.”</w:t>
      </w:r>
      <w:r>
        <w:t xml:space="preserve"> </w:t>
      </w:r>
      <w:r>
        <w:rPr>
          <w:i/>
          <w:iCs/>
        </w:rPr>
        <w:t xml:space="preserve">Proceedings of the National Academy of Sciences of the United States of America</w:t>
      </w:r>
      <w:r>
        <w:t xml:space="preserve"> </w:t>
      </w:r>
      <w:r>
        <w:t xml:space="preserve">104 (January): 1266–71.</w:t>
      </w:r>
      <w:r>
        <w:t xml:space="preserve"> </w:t>
      </w:r>
      <w:hyperlink r:id="rId250">
        <w:r>
          <w:rPr>
            <w:rStyle w:val="Hyperlink"/>
          </w:rPr>
          <w:t xml:space="preserve">https://doi.org/10.1073/pnas.0603422104</w:t>
        </w:r>
      </w:hyperlink>
      <w:r>
        <w:t xml:space="preserve">.</w:t>
      </w:r>
    </w:p>
    <w:bookmarkEnd w:id="251"/>
    <w:bookmarkStart w:id="253" w:name="ref-Okubo2013-ot"/>
    <w:p>
      <w:pPr>
        <w:pStyle w:val="Bibliography"/>
      </w:pPr>
      <w:r>
        <w:t xml:space="preserve">Okubo, Nami, Takuma Mezaki, Yoko Nozawa, et al. 2013.</w:t>
      </w:r>
      <w:r>
        <w:t xml:space="preserve"> </w:t>
      </w:r>
      <w:r>
        <w:t xml:space="preserve">“Comparative Embryology of Eleven Species of Stony Corals (Scleractinia).”</w:t>
      </w:r>
      <w:r>
        <w:t xml:space="preserve"> </w:t>
      </w:r>
      <w:r>
        <w:rPr>
          <w:i/>
          <w:iCs/>
        </w:rPr>
        <w:t xml:space="preserve">PloS One</w:t>
      </w:r>
      <w:r>
        <w:t xml:space="preserve"> </w:t>
      </w:r>
      <w:r>
        <w:t xml:space="preserve">8 (December): e84115.</w:t>
      </w:r>
      <w:r>
        <w:t xml:space="preserve"> </w:t>
      </w:r>
      <w:hyperlink r:id="rId252">
        <w:r>
          <w:rPr>
            <w:rStyle w:val="Hyperlink"/>
          </w:rPr>
          <w:t xml:space="preserve">https://doi.org/10.1371/journal.pone.0084115</w:t>
        </w:r>
      </w:hyperlink>
      <w:r>
        <w:t xml:space="preserve">.</w:t>
      </w:r>
    </w:p>
    <w:bookmarkEnd w:id="253"/>
    <w:bookmarkStart w:id="255" w:name="ref-van-Oppen2017-rs"/>
    <w:p>
      <w:pPr>
        <w:pStyle w:val="Bibliography"/>
      </w:pPr>
      <w:r>
        <w:t xml:space="preserve">Oppen, Madeleine J H van, Ruth D Gates, Linda L Blackall, et al. 2017.</w:t>
      </w:r>
      <w:r>
        <w:t xml:space="preserve"> </w:t>
      </w:r>
      <w:r>
        <w:t xml:space="preserve">“Shifting Paradigms in Restoration of the World’s Coral Reefs.”</w:t>
      </w:r>
      <w:r>
        <w:t xml:space="preserve"> </w:t>
      </w:r>
      <w:r>
        <w:rPr>
          <w:i/>
          <w:iCs/>
        </w:rPr>
        <w:t xml:space="preserve">Global Change Biology</w:t>
      </w:r>
      <w:r>
        <w:t xml:space="preserve"> </w:t>
      </w:r>
      <w:r>
        <w:t xml:space="preserve">23 (September): 3437–48.</w:t>
      </w:r>
      <w:r>
        <w:t xml:space="preserve"> </w:t>
      </w:r>
      <w:hyperlink r:id="rId254">
        <w:r>
          <w:rPr>
            <w:rStyle w:val="Hyperlink"/>
          </w:rPr>
          <w:t xml:space="preserve">https://doi.org/10.1111/gcb.13647</w:t>
        </w:r>
      </w:hyperlink>
      <w:r>
        <w:t xml:space="preserve">.</w:t>
      </w:r>
    </w:p>
    <w:bookmarkEnd w:id="255"/>
    <w:bookmarkStart w:id="257" w:name="ref-Padilla-Gamino2011-qf"/>
    <w:p>
      <w:pPr>
        <w:pStyle w:val="Bibliography"/>
      </w:pPr>
      <w:r>
        <w:t xml:space="preserve">Padilla-Gamiño, J L, T M Weatherby, R G Waller, and R D Gates. 2011.</w:t>
      </w:r>
      <w:r>
        <w:t xml:space="preserve"> </w:t>
      </w:r>
      <w:r>
        <w:t xml:space="preserve">“Formation and Structural Organization of the Egg–Sperm Bundle of the Scleractinian Coral Montipora Capitata.”</w:t>
      </w:r>
      <w:r>
        <w:t xml:space="preserve"> </w:t>
      </w:r>
      <w:r>
        <w:rPr>
          <w:i/>
          <w:iCs/>
        </w:rPr>
        <w:t xml:space="preserve">Coral Reefs</w:t>
      </w:r>
      <w:r>
        <w:t xml:space="preserve"> </w:t>
      </w:r>
      <w:r>
        <w:t xml:space="preserve">30 (June): 371–80.</w:t>
      </w:r>
      <w:r>
        <w:t xml:space="preserve"> </w:t>
      </w:r>
      <w:hyperlink r:id="rId256">
        <w:r>
          <w:rPr>
            <w:rStyle w:val="Hyperlink"/>
          </w:rPr>
          <w:t xml:space="preserve">https://doi.org/10.1007/s00338-010-0700-8</w:t>
        </w:r>
      </w:hyperlink>
      <w:r>
        <w:t xml:space="preserve">.</w:t>
      </w:r>
    </w:p>
    <w:bookmarkEnd w:id="257"/>
    <w:bookmarkStart w:id="259" w:name="ref-Padilla-Gamino2012-oo"/>
    <w:p>
      <w:pPr>
        <w:pStyle w:val="Bibliography"/>
      </w:pPr>
      <w:r>
        <w:t xml:space="preserve">Padilla-Gamiño, and Gates. 2012.</w:t>
      </w:r>
      <w:r>
        <w:t xml:space="preserve"> </w:t>
      </w:r>
      <w:r>
        <w:t xml:space="preserve">“Spawning Dynamics in the Hawaiian Reef-Building Coral Montipora Capitata.”</w:t>
      </w:r>
      <w:r>
        <w:t xml:space="preserve"> </w:t>
      </w:r>
      <w:r>
        <w:rPr>
          <w:i/>
          <w:iCs/>
        </w:rPr>
        <w:t xml:space="preserve">Marine Ecology Progress Series</w:t>
      </w:r>
      <w:r>
        <w:t xml:space="preserve"> </w:t>
      </w:r>
      <w:r>
        <w:t xml:space="preserve">449 (March): 145–60.</w:t>
      </w:r>
      <w:r>
        <w:t xml:space="preserve"> </w:t>
      </w:r>
      <w:hyperlink r:id="rId258">
        <w:r>
          <w:rPr>
            <w:rStyle w:val="Hyperlink"/>
          </w:rPr>
          <w:t xml:space="preserve">https://doi.org/10.3354/meps09530</w:t>
        </w:r>
      </w:hyperlink>
      <w:r>
        <w:t xml:space="preserve">.</w:t>
      </w:r>
    </w:p>
    <w:bookmarkEnd w:id="259"/>
    <w:bookmarkStart w:id="261" w:name="ref-Paganos2023-by"/>
    <w:p>
      <w:pPr>
        <w:pStyle w:val="Bibliography"/>
      </w:pPr>
      <w:r>
        <w:t xml:space="preserve">Paganos, Periklis, Clemens Vinzenz Ullmann, Daniela Gaglio, et al. 2023.</w:t>
      </w:r>
      <w:r>
        <w:t xml:space="preserve"> </w:t>
      </w:r>
      <w:r>
        <w:t xml:space="preserve">“Plastic Leachate-Induced Toxicity During Sea Urchin Embryonic Development: Insights into the Molecular Pathways Affected by</w:t>
      </w:r>
      <w:r>
        <w:t xml:space="preserve"> </w:t>
      </w:r>
      <w:r>
        <w:t xml:space="preserve">PVC</w:t>
      </w:r>
      <w:r>
        <w:t xml:space="preserve">.”</w:t>
      </w:r>
      <w:r>
        <w:t xml:space="preserve"> </w:t>
      </w:r>
      <w:r>
        <w:rPr>
          <w:i/>
          <w:iCs/>
        </w:rPr>
        <w:t xml:space="preserve">The Science of the Total Environment</w:t>
      </w:r>
      <w:r>
        <w:t xml:space="preserve"> </w:t>
      </w:r>
      <w:r>
        <w:t xml:space="preserve">864 (March): 160901.</w:t>
      </w:r>
      <w:r>
        <w:t xml:space="preserve"> </w:t>
      </w:r>
      <w:hyperlink r:id="rId260">
        <w:r>
          <w:rPr>
            <w:rStyle w:val="Hyperlink"/>
          </w:rPr>
          <w:t xml:space="preserve">https://doi.org/10.1016/j.scitotenv.2022.160901</w:t>
        </w:r>
      </w:hyperlink>
      <w:r>
        <w:t xml:space="preserve">.</w:t>
      </w:r>
    </w:p>
    <w:bookmarkEnd w:id="261"/>
    <w:bookmarkStart w:id="263" w:name="ref-Paluselli2018-cq"/>
    <w:p>
      <w:pPr>
        <w:pStyle w:val="Bibliography"/>
      </w:pPr>
      <w:r>
        <w:t xml:space="preserve">Paluselli, Andrea, Vincent Fauvelle, Natascha Schmidt, François Galgani, Sopheak Net, and Richard Sempéré. 2018.</w:t>
      </w:r>
      <w:r>
        <w:t xml:space="preserve"> </w:t>
      </w:r>
      <w:r>
        <w:t xml:space="preserve">“Distribution of Phthalates in Marseille Bay (</w:t>
      </w:r>
      <w:r>
        <w:t xml:space="preserve">NW</w:t>
      </w:r>
      <w:r>
        <w:t xml:space="preserve"> </w:t>
      </w:r>
      <w:r>
        <w:t xml:space="preserve">Mediterranean Sea).”</w:t>
      </w:r>
      <w:r>
        <w:t xml:space="preserve"> </w:t>
      </w:r>
      <w:r>
        <w:rPr>
          <w:i/>
          <w:iCs/>
        </w:rPr>
        <w:t xml:space="preserve">The Science of the Total Environment</w:t>
      </w:r>
      <w:r>
        <w:t xml:space="preserve"> </w:t>
      </w:r>
      <w:r>
        <w:t xml:space="preserve">621 (April): 578–87.</w:t>
      </w:r>
      <w:r>
        <w:t xml:space="preserve"> </w:t>
      </w:r>
      <w:hyperlink r:id="rId262">
        <w:r>
          <w:rPr>
            <w:rStyle w:val="Hyperlink"/>
          </w:rPr>
          <w:t xml:space="preserve">https://doi.org/10.1016/j.scitotenv.2017.11.306</w:t>
        </w:r>
      </w:hyperlink>
      <w:r>
        <w:t xml:space="preserve">.</w:t>
      </w:r>
    </w:p>
    <w:bookmarkEnd w:id="263"/>
    <w:bookmarkStart w:id="265" w:name="ref-Pertea2015-mb"/>
    <w:p>
      <w:pPr>
        <w:pStyle w:val="Bibliography"/>
      </w:pPr>
      <w:r>
        <w:t xml:space="preserve">Pertea, Mihaela, Geo M Pertea, Corina M Antonescu, Tsung-Cheng Chang, Joshua T Mendell, and Steven L Salzberg. 2015.</w:t>
      </w:r>
      <w:r>
        <w:t xml:space="preserve"> </w:t>
      </w:r>
      <w:r>
        <w:t xml:space="preserve">“</w:t>
      </w:r>
      <w:r>
        <w:t xml:space="preserve">StringTie</w:t>
      </w:r>
      <w:r>
        <w:t xml:space="preserve"> </w:t>
      </w:r>
      <w:r>
        <w:t xml:space="preserve">Enables Improved Reconstruction of a Transcriptome from</w:t>
      </w:r>
      <w:r>
        <w:t xml:space="preserve"> </w:t>
      </w:r>
      <w:r>
        <w:t xml:space="preserve">RNA</w:t>
      </w:r>
      <w:r>
        <w:t xml:space="preserve">-Seq Reads.”</w:t>
      </w:r>
      <w:r>
        <w:t xml:space="preserve"> </w:t>
      </w:r>
      <w:r>
        <w:rPr>
          <w:i/>
          <w:iCs/>
        </w:rPr>
        <w:t xml:space="preserve">Nature Biotechnology</w:t>
      </w:r>
      <w:r>
        <w:t xml:space="preserve"> </w:t>
      </w:r>
      <w:r>
        <w:t xml:space="preserve">33 (March): 290–95.</w:t>
      </w:r>
      <w:r>
        <w:t xml:space="preserve"> </w:t>
      </w:r>
      <w:hyperlink r:id="rId264">
        <w:r>
          <w:rPr>
            <w:rStyle w:val="Hyperlink"/>
          </w:rPr>
          <w:t xml:space="preserve">https://doi.org/10.1038/nbt.3122</w:t>
        </w:r>
      </w:hyperlink>
      <w:r>
        <w:t xml:space="preserve">.</w:t>
      </w:r>
    </w:p>
    <w:bookmarkEnd w:id="265"/>
    <w:bookmarkStart w:id="267" w:name="ref-Pinheiro2023-wt"/>
    <w:p>
      <w:pPr>
        <w:pStyle w:val="Bibliography"/>
      </w:pPr>
      <w:r>
        <w:t xml:space="preserve">Pinheiro, Marlene, Irene Martins, Joana Raimundo, Miguel Caetano, Teresa Neuparth, and Miguel M Santos. 2023.</w:t>
      </w:r>
      <w:r>
        <w:t xml:space="preserve"> </w:t>
      </w:r>
      <w:r>
        <w:t xml:space="preserve">“Stressors of Emerging Concern in Deep-Sea Environments: Microplastics, Pharmaceuticals, Personal Care Products and Deep-Sea Mining.”</w:t>
      </w:r>
      <w:r>
        <w:t xml:space="preserve"> </w:t>
      </w:r>
      <w:r>
        <w:rPr>
          <w:i/>
          <w:iCs/>
        </w:rPr>
        <w:t xml:space="preserve">The Science of the Total Environment</w:t>
      </w:r>
      <w:r>
        <w:t xml:space="preserve"> </w:t>
      </w:r>
      <w:r>
        <w:t xml:space="preserve">876 (June): 162557.</w:t>
      </w:r>
      <w:r>
        <w:t xml:space="preserve"> </w:t>
      </w:r>
      <w:hyperlink r:id="rId266">
        <w:r>
          <w:rPr>
            <w:rStyle w:val="Hyperlink"/>
          </w:rPr>
          <w:t xml:space="preserve">https://doi.org/10.1016/j.scitotenv.2023.162557</w:t>
        </w:r>
      </w:hyperlink>
      <w:r>
        <w:t xml:space="preserve">.</w:t>
      </w:r>
    </w:p>
    <w:bookmarkEnd w:id="267"/>
    <w:bookmarkStart w:id="269" w:name="ref-Raina2010-jv"/>
    <w:p>
      <w:pPr>
        <w:pStyle w:val="Bibliography"/>
      </w:pPr>
      <w:r>
        <w:t xml:space="preserve">Raina, Jean-Baptiste, Elizabeth A Dinsdale, Bette L Willis, and David G Bourne. 2010.</w:t>
      </w:r>
      <w:r>
        <w:t xml:space="preserve"> </w:t>
      </w:r>
      <w:r>
        <w:t xml:space="preserve">“Do the Organic Sulfur Compounds</w:t>
      </w:r>
      <w:r>
        <w:t xml:space="preserve"> </w:t>
      </w:r>
      <w:r>
        <w:t xml:space="preserve">DMSP</w:t>
      </w:r>
      <w:r>
        <w:t xml:space="preserve"> </w:t>
      </w:r>
      <w:r>
        <w:t xml:space="preserve">and</w:t>
      </w:r>
      <w:r>
        <w:t xml:space="preserve"> </w:t>
      </w:r>
      <w:r>
        <w:t xml:space="preserve">DMS</w:t>
      </w:r>
      <w:r>
        <w:t xml:space="preserve"> </w:t>
      </w:r>
      <w:r>
        <w:t xml:space="preserve">Drive Coral Microbial Associations?”</w:t>
      </w:r>
      <w:r>
        <w:t xml:space="preserve"> </w:t>
      </w:r>
      <w:r>
        <w:rPr>
          <w:i/>
          <w:iCs/>
        </w:rPr>
        <w:t xml:space="preserve">Trends in Microbiology</w:t>
      </w:r>
      <w:r>
        <w:t xml:space="preserve"> </w:t>
      </w:r>
      <w:r>
        <w:t xml:space="preserve">18 (March): 101–8.</w:t>
      </w:r>
      <w:r>
        <w:t xml:space="preserve"> </w:t>
      </w:r>
      <w:hyperlink r:id="rId268">
        <w:r>
          <w:rPr>
            <w:rStyle w:val="Hyperlink"/>
          </w:rPr>
          <w:t xml:space="preserve">https://doi.org/10.1016/j.tim.2009.12.002</w:t>
        </w:r>
      </w:hyperlink>
      <w:r>
        <w:t xml:space="preserve">.</w:t>
      </w:r>
    </w:p>
    <w:bookmarkEnd w:id="269"/>
    <w:bookmarkStart w:id="271" w:name="ref-Raina2013-tg"/>
    <w:p>
      <w:pPr>
        <w:pStyle w:val="Bibliography"/>
      </w:pPr>
      <w:r>
        <w:t xml:space="preserve">Raina, Jean-Baptiste, Dianne M Tapiolas, Sylvain Forêt, et al. 2013.</w:t>
      </w:r>
      <w:r>
        <w:t xml:space="preserve"> </w:t>
      </w:r>
      <w:r>
        <w:t xml:space="preserve">“</w:t>
      </w:r>
      <w:r>
        <w:t xml:space="preserve">DMSP</w:t>
      </w:r>
      <w:r>
        <w:t xml:space="preserve"> </w:t>
      </w:r>
      <w:r>
        <w:t xml:space="preserve">Biosynthesis by an Animal and Its Role in Coral Thermal Stress Response.”</w:t>
      </w:r>
      <w:r>
        <w:t xml:space="preserve"> </w:t>
      </w:r>
      <w:r>
        <w:rPr>
          <w:i/>
          <w:iCs/>
        </w:rPr>
        <w:t xml:space="preserve">Nature</w:t>
      </w:r>
      <w:r>
        <w:t xml:space="preserve"> </w:t>
      </w:r>
      <w:r>
        <w:t xml:space="preserve">502 (October): 677–80.</w:t>
      </w:r>
      <w:r>
        <w:t xml:space="preserve"> </w:t>
      </w:r>
      <w:hyperlink r:id="rId270">
        <w:r>
          <w:rPr>
            <w:rStyle w:val="Hyperlink"/>
          </w:rPr>
          <w:t xml:space="preserve">https://doi.org/10.1038/nature12677</w:t>
        </w:r>
      </w:hyperlink>
      <w:r>
        <w:t xml:space="preserve">.</w:t>
      </w:r>
    </w:p>
    <w:bookmarkEnd w:id="271"/>
    <w:bookmarkStart w:id="273" w:name="ref-Ramakrishnan2008-eb"/>
    <w:p>
      <w:pPr>
        <w:pStyle w:val="Bibliography"/>
      </w:pPr>
      <w:r>
        <w:t xml:space="preserve">Ramakrishnan, Siddharth, and Nancy L Wayne. 2008.</w:t>
      </w:r>
      <w:r>
        <w:t xml:space="preserve"> </w:t>
      </w:r>
      <w:r>
        <w:t xml:space="preserve">“Impact of Bisphenol-a on Early Embryonic Development and Reproductive Maturation.”</w:t>
      </w:r>
      <w:r>
        <w:t xml:space="preserve"> </w:t>
      </w:r>
      <w:r>
        <w:rPr>
          <w:i/>
          <w:iCs/>
        </w:rPr>
        <w:t xml:space="preserve">Reproductive Toxicology (Elmsford, N.Y.)</w:t>
      </w:r>
      <w:r>
        <w:t xml:space="preserve"> </w:t>
      </w:r>
      <w:r>
        <w:t xml:space="preserve">25 (February): 177–83.</w:t>
      </w:r>
      <w:r>
        <w:t xml:space="preserve"> </w:t>
      </w:r>
      <w:hyperlink r:id="rId272">
        <w:r>
          <w:rPr>
            <w:rStyle w:val="Hyperlink"/>
          </w:rPr>
          <w:t xml:space="preserve">https://doi.org/10.1016/j.reprotox.2007.11.002</w:t>
        </w:r>
      </w:hyperlink>
      <w:r>
        <w:t xml:space="preserve">.</w:t>
      </w:r>
    </w:p>
    <w:bookmarkEnd w:id="273"/>
    <w:bookmarkStart w:id="275" w:name="ref-Reaka-Kudla1997-nr"/>
    <w:p>
      <w:pPr>
        <w:pStyle w:val="Bibliography"/>
      </w:pPr>
      <w:r>
        <w:t xml:space="preserve">Reaka-Kudla, Marjorie L. 1997.</w:t>
      </w:r>
      <w:r>
        <w:t xml:space="preserve"> </w:t>
      </w:r>
      <w:r>
        <w:t xml:space="preserve">“The Global Biodiversity of Coral Reefs: A Comparison with Rainforests.”</w:t>
      </w:r>
      <w:r>
        <w:t xml:space="preserve"> </w:t>
      </w:r>
      <w:r>
        <w:t xml:space="preserve">In</w:t>
      </w:r>
      <w:r>
        <w:t xml:space="preserve"> </w:t>
      </w:r>
      <w:r>
        <w:rPr>
          <w:i/>
          <w:iCs/>
        </w:rPr>
        <w:t xml:space="preserve">Biodiversity II: Understanding and Protecting Our Biological Resources</w:t>
      </w:r>
      <w:r>
        <w:t xml:space="preserve">, edited by Marjorie L. Reaka-Kudla, Don E. Wilson, and Edward O. Wilson. National Academies Press.</w:t>
      </w:r>
      <w:r>
        <w:t xml:space="preserve"> </w:t>
      </w:r>
      <w:hyperlink r:id="rId274">
        <w:r>
          <w:rPr>
            <w:rStyle w:val="Hyperlink"/>
          </w:rPr>
          <w:t xml:space="preserve">https://www.researchgate.net/publication/239063261</w:t>
        </w:r>
      </w:hyperlink>
      <w:r>
        <w:t xml:space="preserve">.</w:t>
      </w:r>
    </w:p>
    <w:bookmarkEnd w:id="275"/>
    <w:bookmarkStart w:id="277" w:name="ref-Reisch2011-sm"/>
    <w:p>
      <w:pPr>
        <w:pStyle w:val="Bibliography"/>
      </w:pPr>
      <w:r>
        <w:t xml:space="preserve">Reisch, Chris R, Mary Ann Moran, and William B Whitman. 2011.</w:t>
      </w:r>
      <w:r>
        <w:t xml:space="preserve"> </w:t>
      </w:r>
      <w:r>
        <w:t xml:space="preserve">“Bacterial Catabolism of Dimethylsulfoniopropionate (</w:t>
      </w:r>
      <w:r>
        <w:t xml:space="preserve">DMSP</w:t>
      </w:r>
      <w:r>
        <w:t xml:space="preserve">).”</w:t>
      </w:r>
      <w:r>
        <w:t xml:space="preserve"> </w:t>
      </w:r>
      <w:r>
        <w:rPr>
          <w:i/>
          <w:iCs/>
        </w:rPr>
        <w:t xml:space="preserve">Frontiers in Microbiology</w:t>
      </w:r>
      <w:r>
        <w:t xml:space="preserve"> </w:t>
      </w:r>
      <w:r>
        <w:t xml:space="preserve">2 (August): 172.</w:t>
      </w:r>
      <w:r>
        <w:t xml:space="preserve"> </w:t>
      </w:r>
      <w:hyperlink r:id="rId276">
        <w:r>
          <w:rPr>
            <w:rStyle w:val="Hyperlink"/>
          </w:rPr>
          <w:t xml:space="preserve">https://doi.org/10.3389/fmicb.2011.00172</w:t>
        </w:r>
      </w:hyperlink>
      <w:r>
        <w:t xml:space="preserve">.</w:t>
      </w:r>
    </w:p>
    <w:bookmarkEnd w:id="277"/>
    <w:bookmarkStart w:id="279" w:name="ref-Rendell-Bhatti2021-by"/>
    <w:p>
      <w:pPr>
        <w:pStyle w:val="Bibliography"/>
      </w:pPr>
      <w:r>
        <w:t xml:space="preserve">Rendell-Bhatti, Flora, Periklis Paganos, Anna Pouch, et al. 2021.</w:t>
      </w:r>
      <w:r>
        <w:t xml:space="preserve"> </w:t>
      </w:r>
      <w:r>
        <w:t xml:space="preserve">“Developmental Toxicity of Plastic Leachates on the Sea Urchin Paracentrotus Lividus.”</w:t>
      </w:r>
      <w:r>
        <w:t xml:space="preserve"> </w:t>
      </w:r>
      <w:r>
        <w:rPr>
          <w:i/>
          <w:iCs/>
        </w:rPr>
        <w:t xml:space="preserve">Environmental Pollution (Barking, Essex: 1987)</w:t>
      </w:r>
      <w:r>
        <w:t xml:space="preserve"> </w:t>
      </w:r>
      <w:r>
        <w:t xml:space="preserve">269 (January): 115744.</w:t>
      </w:r>
      <w:r>
        <w:t xml:space="preserve"> </w:t>
      </w:r>
      <w:hyperlink r:id="rId278">
        <w:r>
          <w:rPr>
            <w:rStyle w:val="Hyperlink"/>
          </w:rPr>
          <w:t xml:space="preserve">https://doi.org/10.1016/j.envpol.2020.115744</w:t>
        </w:r>
      </w:hyperlink>
      <w:r>
        <w:t xml:space="preserve">.</w:t>
      </w:r>
    </w:p>
    <w:bookmarkEnd w:id="279"/>
    <w:bookmarkStart w:id="281" w:name="ref-Richmond1997-ju"/>
    <w:p>
      <w:pPr>
        <w:pStyle w:val="Bibliography"/>
      </w:pPr>
      <w:r>
        <w:t xml:space="preserve">Richmond, Robert H. 1997.</w:t>
      </w:r>
      <w:r>
        <w:t xml:space="preserve"> </w:t>
      </w:r>
      <w:r>
        <w:t xml:space="preserve">“Reproduction and Recruitment in Corals: Critical Links in the Persistence of Reefs.”</w:t>
      </w:r>
      <w:r>
        <w:t xml:space="preserve"> </w:t>
      </w:r>
      <w:r>
        <w:t xml:space="preserve">In</w:t>
      </w:r>
      <w:r>
        <w:t xml:space="preserve"> </w:t>
      </w:r>
      <w:r>
        <w:rPr>
          <w:i/>
          <w:iCs/>
        </w:rPr>
        <w:t xml:space="preserve">Life and Death of Coral Reefs</w:t>
      </w:r>
      <w:r>
        <w:t xml:space="preserve">. Springer US.</w:t>
      </w:r>
      <w:r>
        <w:t xml:space="preserve"> </w:t>
      </w:r>
      <w:hyperlink r:id="rId280">
        <w:r>
          <w:rPr>
            <w:rStyle w:val="Hyperlink"/>
          </w:rPr>
          <w:t xml:space="preserve">https://doi.org/10.1007/978-1-4615-5995-5_8</w:t>
        </w:r>
      </w:hyperlink>
      <w:r>
        <w:t xml:space="preserve">.</w:t>
      </w:r>
    </w:p>
    <w:bookmarkEnd w:id="281"/>
    <w:bookmarkStart w:id="283" w:name="ref-Richmond2018-ld"/>
    <w:p>
      <w:pPr>
        <w:pStyle w:val="Bibliography"/>
      </w:pPr>
      <w:r>
        <w:t xml:space="preserve">Richmond, Robert H, Kaho H Tisthammer, and Narrissa P Spies. 2018.</w:t>
      </w:r>
      <w:r>
        <w:t xml:space="preserve"> </w:t>
      </w:r>
      <w:r>
        <w:t xml:space="preserve">“The Effects of Anthropogenic Stressors on Reproduction and Recruitment of Corals and Reef Organisms.”</w:t>
      </w:r>
      <w:r>
        <w:t xml:space="preserve"> </w:t>
      </w:r>
      <w:r>
        <w:rPr>
          <w:i/>
          <w:iCs/>
        </w:rPr>
        <w:t xml:space="preserve">Frontiers in Marine Science</w:t>
      </w:r>
      <w:r>
        <w:t xml:space="preserve"> </w:t>
      </w:r>
      <w:r>
        <w:t xml:space="preserve">5 (July): 379626.</w:t>
      </w:r>
      <w:r>
        <w:t xml:space="preserve"> </w:t>
      </w:r>
      <w:hyperlink r:id="rId282">
        <w:r>
          <w:rPr>
            <w:rStyle w:val="Hyperlink"/>
          </w:rPr>
          <w:t xml:space="preserve">https://doi.org/10.3389/fmars.2018.00226</w:t>
        </w:r>
      </w:hyperlink>
      <w:r>
        <w:t xml:space="preserve">.</w:t>
      </w:r>
    </w:p>
    <w:bookmarkEnd w:id="283"/>
    <w:bookmarkStart w:id="285" w:name="ref-OurWorldInData"/>
    <w:p>
      <w:pPr>
        <w:pStyle w:val="Bibliography"/>
      </w:pPr>
      <w:r>
        <w:t xml:space="preserve">Ritchie, Hannah. 2026.</w:t>
      </w:r>
      <w:r>
        <w:t xml:space="preserve"> </w:t>
      </w:r>
      <w:r>
        <w:t xml:space="preserve">“Share of Global Plastic Waste Emitted to the Ocean.”</w:t>
      </w:r>
      <w:r>
        <w:t xml:space="preserve"> </w:t>
      </w:r>
      <w:r>
        <w:t xml:space="preserve">May 18.</w:t>
      </w:r>
      <w:r>
        <w:t xml:space="preserve"> </w:t>
      </w:r>
      <w:hyperlink r:id="rId284">
        <w:r>
          <w:rPr>
            <w:rStyle w:val="Hyperlink"/>
          </w:rPr>
          <w:t xml:space="preserve">https://ourworldindata.org/grapher/share-of-global-plastic-waste-emitted-to-the-ocean</w:t>
        </w:r>
      </w:hyperlink>
      <w:r>
        <w:t xml:space="preserve">.</w:t>
      </w:r>
    </w:p>
    <w:bookmarkEnd w:id="285"/>
    <w:bookmarkStart w:id="287" w:name="ref-Rochman2019-nx"/>
    <w:p>
      <w:pPr>
        <w:pStyle w:val="Bibliography"/>
      </w:pPr>
      <w:r>
        <w:t xml:space="preserve">Rochman, Chelsea M, Cole Brookson, Jacqueline Bikker, et al. 2019.</w:t>
      </w:r>
      <w:r>
        <w:t xml:space="preserve"> </w:t>
      </w:r>
      <w:r>
        <w:t xml:space="preserve">“Rethinking Microplastics as a Diverse Contaminant Suite.”</w:t>
      </w:r>
      <w:r>
        <w:t xml:space="preserve"> </w:t>
      </w:r>
      <w:r>
        <w:rPr>
          <w:i/>
          <w:iCs/>
        </w:rPr>
        <w:t xml:space="preserve">Environmental Toxicology and Chemistry</w:t>
      </w:r>
      <w:r>
        <w:t xml:space="preserve"> </w:t>
      </w:r>
      <w:r>
        <w:t xml:space="preserve">38 (April): 703–11.</w:t>
      </w:r>
      <w:r>
        <w:t xml:space="preserve"> </w:t>
      </w:r>
      <w:hyperlink r:id="rId286">
        <w:r>
          <w:rPr>
            <w:rStyle w:val="Hyperlink"/>
          </w:rPr>
          <w:t xml:space="preserve">https://doi.org/10.1002/etc.4371</w:t>
        </w:r>
      </w:hyperlink>
      <w:r>
        <w:t xml:space="preserve">.</w:t>
      </w:r>
    </w:p>
    <w:bookmarkEnd w:id="287"/>
    <w:bookmarkStart w:id="289" w:name="ref-Saliu2020-pt"/>
    <w:p>
      <w:pPr>
        <w:pStyle w:val="Bibliography"/>
      </w:pPr>
      <w:r>
        <w:t xml:space="preserve">Saliu, Francesco, Simone Montano, Marina Lasagni, and Paolo Galli. 2020.</w:t>
      </w:r>
      <w:r>
        <w:t xml:space="preserve"> </w:t>
      </w:r>
      <w:r>
        <w:t xml:space="preserve">“Biocompatible Solid-Phase Microextraction Coupled to Liquid Chromatography Triple Quadrupole Mass Spectrometry Analysis for the Determination of Phthalates in Marine Invertebrate.”</w:t>
      </w:r>
      <w:r>
        <w:t xml:space="preserve"> </w:t>
      </w:r>
      <w:r>
        <w:rPr>
          <w:i/>
          <w:iCs/>
        </w:rPr>
        <w:t xml:space="preserve">Journal of Chromatography A</w:t>
      </w:r>
      <w:r>
        <w:t xml:space="preserve"> </w:t>
      </w:r>
      <w:r>
        <w:t xml:space="preserve">1618 (May): 460852.</w:t>
      </w:r>
      <w:r>
        <w:t xml:space="preserve"> </w:t>
      </w:r>
      <w:hyperlink r:id="rId288">
        <w:r>
          <w:rPr>
            <w:rStyle w:val="Hyperlink"/>
          </w:rPr>
          <w:t xml:space="preserve">https://doi.org/10.1016/j.chroma.2020.460852</w:t>
        </w:r>
      </w:hyperlink>
      <w:r>
        <w:t xml:space="preserve">.</w:t>
      </w:r>
    </w:p>
    <w:bookmarkEnd w:id="289"/>
    <w:bookmarkStart w:id="291" w:name="ref-Slattery1999-dn"/>
    <w:p>
      <w:pPr>
        <w:pStyle w:val="Bibliography"/>
      </w:pPr>
      <w:r>
        <w:t xml:space="preserve">Slattery, M, G A Hines, J Starmer, and V J Paul. 1999.</w:t>
      </w:r>
      <w:r>
        <w:t xml:space="preserve"> </w:t>
      </w:r>
      <w:r>
        <w:t xml:space="preserve">“Chemical Signals in Gametogenesis, Spawning, and Larval Settlement and Defense of the Soft Coral Sinularia Polydactyla.”</w:t>
      </w:r>
      <w:r>
        <w:t xml:space="preserve"> </w:t>
      </w:r>
      <w:r>
        <w:rPr>
          <w:i/>
          <w:iCs/>
        </w:rPr>
        <w:t xml:space="preserve">Coral Reefs</w:t>
      </w:r>
      <w:r>
        <w:t xml:space="preserve"> </w:t>
      </w:r>
      <w:r>
        <w:t xml:space="preserve">18 (April): 75–84.</w:t>
      </w:r>
      <w:r>
        <w:t xml:space="preserve"> </w:t>
      </w:r>
      <w:hyperlink r:id="rId290">
        <w:r>
          <w:rPr>
            <w:rStyle w:val="Hyperlink"/>
          </w:rPr>
          <w:t xml:space="preserve">https://doi.org/10.1007/s003380050158</w:t>
        </w:r>
      </w:hyperlink>
      <w:r>
        <w:t xml:space="preserve">.</w:t>
      </w:r>
    </w:p>
    <w:bookmarkEnd w:id="291"/>
    <w:bookmarkStart w:id="293" w:name="ref-Souter2020-dx"/>
    <w:p>
      <w:pPr>
        <w:pStyle w:val="Bibliography"/>
      </w:pPr>
      <w:r>
        <w:t xml:space="preserve">Souter, David, Serge Planes, Jérémy Wicquart, Murray Logan, David Obura, and Francis Staub. 2020.</w:t>
      </w:r>
      <w:r>
        <w:t xml:space="preserve"> </w:t>
      </w:r>
      <w:r>
        <w:rPr>
          <w:i/>
          <w:iCs/>
        </w:rPr>
        <w:t xml:space="preserve">Status of Coral Reefs of the World: 2020</w:t>
      </w:r>
      <w:r>
        <w:t xml:space="preserve">. Research report. Global Coral Reef Monitoring Network &amp; International Coral Reef Initiative.</w:t>
      </w:r>
      <w:r>
        <w:t xml:space="preserve"> </w:t>
      </w:r>
      <w:hyperlink r:id="rId292">
        <w:r>
          <w:rPr>
            <w:rStyle w:val="Hyperlink"/>
          </w:rPr>
          <w:t xml:space="preserve">https://gcrmn.net/wp-content/uploads/2021/10/Executive-Summary-with-Forewords.pdf</w:t>
        </w:r>
      </w:hyperlink>
      <w:r>
        <w:t xml:space="preserve">.</w:t>
      </w:r>
    </w:p>
    <w:bookmarkEnd w:id="293"/>
    <w:bookmarkStart w:id="295" w:name="ref-Stephens2022-sn"/>
    <w:p>
      <w:pPr>
        <w:pStyle w:val="Bibliography"/>
      </w:pPr>
      <w:r>
        <w:t xml:space="preserve">Stephens, Timothy G, Junmo Lee, Yujin Jeong, et al. 2022.</w:t>
      </w:r>
      <w:r>
        <w:t xml:space="preserve"> </w:t>
      </w:r>
      <w:r>
        <w:t xml:space="preserve">“High-Quality Genome Assembles from Key Hawaiian Coral Species.”</w:t>
      </w:r>
      <w:r>
        <w:t xml:space="preserve"> </w:t>
      </w:r>
      <w:r>
        <w:rPr>
          <w:i/>
          <w:iCs/>
        </w:rPr>
        <w:t xml:space="preserve">GigaScience</w:t>
      </w:r>
      <w:r>
        <w:t xml:space="preserve"> </w:t>
      </w:r>
      <w:r>
        <w:t xml:space="preserve">11 (November): giac098.</w:t>
      </w:r>
      <w:r>
        <w:t xml:space="preserve"> </w:t>
      </w:r>
      <w:hyperlink r:id="rId294">
        <w:r>
          <w:rPr>
            <w:rStyle w:val="Hyperlink"/>
          </w:rPr>
          <w:t xml:space="preserve">https://doi.org/10.1093/gigascience/giac098</w:t>
        </w:r>
      </w:hyperlink>
      <w:r>
        <w:t xml:space="preserve">.</w:t>
      </w:r>
    </w:p>
    <w:bookmarkEnd w:id="295"/>
    <w:bookmarkStart w:id="297" w:name="ref-Stubbins2021-sd"/>
    <w:p>
      <w:pPr>
        <w:pStyle w:val="Bibliography"/>
      </w:pPr>
      <w:r>
        <w:t xml:space="preserve">Stubbins, Aron, Kara Lavender Law, Samuel E Muñoz, Thomas S Bianchi, and Lixin Zhu. 2021.</w:t>
      </w:r>
      <w:r>
        <w:t xml:space="preserve"> </w:t>
      </w:r>
      <w:r>
        <w:t xml:space="preserve">“Plastics in the Earth System.”</w:t>
      </w:r>
      <w:r>
        <w:t xml:space="preserve"> </w:t>
      </w:r>
      <w:r>
        <w:rPr>
          <w:i/>
          <w:iCs/>
        </w:rPr>
        <w:t xml:space="preserve">Science (New York, N.Y.)</w:t>
      </w:r>
      <w:r>
        <w:t xml:space="preserve"> </w:t>
      </w:r>
      <w:r>
        <w:t xml:space="preserve">373 (July): 51–55.</w:t>
      </w:r>
      <w:r>
        <w:t xml:space="preserve"> </w:t>
      </w:r>
      <w:hyperlink r:id="rId296">
        <w:r>
          <w:rPr>
            <w:rStyle w:val="Hyperlink"/>
          </w:rPr>
          <w:t xml:space="preserve">https://doi.org/10.1126/science.abb0354</w:t>
        </w:r>
      </w:hyperlink>
      <w:r>
        <w:t xml:space="preserve">.</w:t>
      </w:r>
    </w:p>
    <w:bookmarkEnd w:id="297"/>
    <w:bookmarkStart w:id="299" w:name="ref-Tarrant2005-zj"/>
    <w:p>
      <w:pPr>
        <w:pStyle w:val="Bibliography"/>
      </w:pPr>
      <w:r>
        <w:t xml:space="preserve">Tarrant, A M. 2005.</w:t>
      </w:r>
      <w:r>
        <w:t xml:space="preserve"> </w:t>
      </w:r>
      <w:r>
        <w:t xml:space="preserve">“Endocrine-Like Signaling in Cnidarians: Current Understanding and Implications for Ecophysiology.”</w:t>
      </w:r>
      <w:r>
        <w:t xml:space="preserve"> </w:t>
      </w:r>
      <w:r>
        <w:rPr>
          <w:i/>
          <w:iCs/>
        </w:rPr>
        <w:t xml:space="preserve">Integrative and Comparative Biology</w:t>
      </w:r>
      <w:r>
        <w:t xml:space="preserve"> </w:t>
      </w:r>
      <w:r>
        <w:t xml:space="preserve">45 (January): 201–14.</w:t>
      </w:r>
      <w:r>
        <w:t xml:space="preserve"> </w:t>
      </w:r>
      <w:hyperlink r:id="rId298">
        <w:r>
          <w:rPr>
            <w:rStyle w:val="Hyperlink"/>
          </w:rPr>
          <w:t xml:space="preserve">https://doi.org/10.1093/icb/45.1.201</w:t>
        </w:r>
      </w:hyperlink>
      <w:r>
        <w:t xml:space="preserve">.</w:t>
      </w:r>
    </w:p>
    <w:bookmarkEnd w:id="299"/>
    <w:bookmarkStart w:id="301" w:name="ref-Tarrant2004-dn"/>
    <w:p>
      <w:pPr>
        <w:pStyle w:val="Bibliography"/>
      </w:pPr>
      <w:r>
        <w:t xml:space="preserve">Tarrant, A M, M J Atkinson, and S Atkinson. 2004.</w:t>
      </w:r>
      <w:r>
        <w:t xml:space="preserve"> </w:t>
      </w:r>
      <w:r>
        <w:t xml:space="preserve">“Effects of Steroidal Estrogens on Coral Growth and Reproduction.”</w:t>
      </w:r>
      <w:r>
        <w:t xml:space="preserve"> </w:t>
      </w:r>
      <w:r>
        <w:rPr>
          <w:i/>
          <w:iCs/>
        </w:rPr>
        <w:t xml:space="preserve">Marine Ecology Progress Series</w:t>
      </w:r>
      <w:r>
        <w:t xml:space="preserve"> </w:t>
      </w:r>
      <w:r>
        <w:t xml:space="preserve">269: 121–29.</w:t>
      </w:r>
      <w:r>
        <w:t xml:space="preserve"> </w:t>
      </w:r>
      <w:hyperlink r:id="rId300">
        <w:r>
          <w:rPr>
            <w:rStyle w:val="Hyperlink"/>
          </w:rPr>
          <w:t xml:space="preserve">https://doi.org/10.3354/meps269121</w:t>
        </w:r>
      </w:hyperlink>
      <w:r>
        <w:t xml:space="preserve">.</w:t>
      </w:r>
    </w:p>
    <w:bookmarkEnd w:id="301"/>
    <w:bookmarkStart w:id="303" w:name="ref-Tarrant1999-ot"/>
    <w:p>
      <w:pPr>
        <w:pStyle w:val="Bibliography"/>
      </w:pPr>
      <w:r>
        <w:t xml:space="preserve">Tarrant, A M, S Atkinson, and M J Atkinson. 1999.</w:t>
      </w:r>
      <w:r>
        <w:t xml:space="preserve"> </w:t>
      </w:r>
      <w:r>
        <w:t xml:space="preserve">“Estrone and Estradiol-17 Beta Concentration in Tissue of the Scleractinian Coral, Montipora Verrucosa.”</w:t>
      </w:r>
      <w:r>
        <w:t xml:space="preserve"> </w:t>
      </w:r>
      <w:r>
        <w:rPr>
          <w:i/>
          <w:iCs/>
        </w:rPr>
        <w:t xml:space="preserve">Comparative Biochemistry and Physiology. Part A, Molecular &amp; Integrative Physiology</w:t>
      </w:r>
      <w:r>
        <w:t xml:space="preserve"> </w:t>
      </w:r>
      <w:r>
        <w:t xml:space="preserve">122 (January): 85–92.</w:t>
      </w:r>
      <w:r>
        <w:t xml:space="preserve"> </w:t>
      </w:r>
      <w:hyperlink r:id="rId302">
        <w:r>
          <w:rPr>
            <w:rStyle w:val="Hyperlink"/>
          </w:rPr>
          <w:t xml:space="preserve">https://doi.org/10.1016/s1095-6433(98)10155-1</w:t>
        </w:r>
      </w:hyperlink>
      <w:r>
        <w:t xml:space="preserve">.</w:t>
      </w:r>
    </w:p>
    <w:bookmarkEnd w:id="303"/>
    <w:bookmarkStart w:id="305" w:name="ref-Tarrant2007-bd"/>
    <w:p>
      <w:pPr>
        <w:pStyle w:val="Bibliography"/>
      </w:pPr>
      <w:r>
        <w:t xml:space="preserve">Tarrant, Ann M. 2007.</w:t>
      </w:r>
      <w:r>
        <w:t xml:space="preserve"> </w:t>
      </w:r>
      <w:r>
        <w:t xml:space="preserve">“Hormonal Signaling in Cnidarians: Do We Understand the Pathways Well Enough to Know Whether They Are Being Disrupted?”</w:t>
      </w:r>
      <w:r>
        <w:t xml:space="preserve"> </w:t>
      </w:r>
      <w:r>
        <w:rPr>
          <w:i/>
          <w:iCs/>
        </w:rPr>
        <w:t xml:space="preserve">Ecotoxicology (London, England)</w:t>
      </w:r>
      <w:r>
        <w:t xml:space="preserve"> </w:t>
      </w:r>
      <w:r>
        <w:t xml:space="preserve">16 (February): 5–13.</w:t>
      </w:r>
      <w:r>
        <w:t xml:space="preserve"> </w:t>
      </w:r>
      <w:hyperlink r:id="rId304">
        <w:r>
          <w:rPr>
            <w:rStyle w:val="Hyperlink"/>
          </w:rPr>
          <w:t xml:space="preserve">https://doi.org/10.1007/s10646-006-0121-1</w:t>
        </w:r>
      </w:hyperlink>
      <w:r>
        <w:t xml:space="preserve">.</w:t>
      </w:r>
    </w:p>
    <w:bookmarkEnd w:id="305"/>
    <w:bookmarkStart w:id="307" w:name="ref-Tarrant2003-tk"/>
    <w:p>
      <w:pPr>
        <w:pStyle w:val="Bibliography"/>
      </w:pPr>
      <w:r>
        <w:t xml:space="preserve">Tarrant, Ann M, C H Blomquist, P H Lima, M J Atkinson, and S Atkinson. 2003.</w:t>
      </w:r>
      <w:r>
        <w:t xml:space="preserve"> </w:t>
      </w:r>
      <w:r>
        <w:t xml:space="preserve">“Metabolism of Estrogens and Androgens by Scleractinian Corals.”</w:t>
      </w:r>
      <w:r>
        <w:t xml:space="preserve"> </w:t>
      </w:r>
      <w:r>
        <w:rPr>
          <w:i/>
          <w:iCs/>
        </w:rPr>
        <w:t xml:space="preserve">Comparative Biochemistry and Physiology. Part B, Biochemistry &amp; Molecular Biology</w:t>
      </w:r>
      <w:r>
        <w:t xml:space="preserve"> </w:t>
      </w:r>
      <w:r>
        <w:t xml:space="preserve">136 (November): 473–85.</w:t>
      </w:r>
      <w:r>
        <w:t xml:space="preserve"> </w:t>
      </w:r>
      <w:hyperlink r:id="rId306">
        <w:r>
          <w:rPr>
            <w:rStyle w:val="Hyperlink"/>
          </w:rPr>
          <w:t xml:space="preserve">https://doi.org/10.1016/s1096-4959(03)00253-7</w:t>
        </w:r>
      </w:hyperlink>
      <w:r>
        <w:t xml:space="preserve">.</w:t>
      </w:r>
    </w:p>
    <w:bookmarkEnd w:id="307"/>
    <w:bookmarkStart w:id="309" w:name="ref-Tetu2019-sy"/>
    <w:p>
      <w:pPr>
        <w:pStyle w:val="Bibliography"/>
      </w:pPr>
      <w:r>
        <w:t xml:space="preserve">Tetu, Sasha G, Indrani Sarker, Verena Schrameyer, et al. 2019.</w:t>
      </w:r>
      <w:r>
        <w:t xml:space="preserve"> </w:t>
      </w:r>
      <w:r>
        <w:t xml:space="preserve">“Plastic Leachates Impair Growth and Oxygen Production in Prochlorococcus, the Ocean’s Most Abundant Photosynthetic Bacteria.”</w:t>
      </w:r>
      <w:r>
        <w:t xml:space="preserve"> </w:t>
      </w:r>
      <w:r>
        <w:rPr>
          <w:i/>
          <w:iCs/>
        </w:rPr>
        <w:t xml:space="preserve">Communications Biology</w:t>
      </w:r>
      <w:r>
        <w:t xml:space="preserve"> </w:t>
      </w:r>
      <w:r>
        <w:t xml:space="preserve">2 (May): 184.</w:t>
      </w:r>
      <w:r>
        <w:t xml:space="preserve"> </w:t>
      </w:r>
      <w:hyperlink r:id="rId308">
        <w:r>
          <w:rPr>
            <w:rStyle w:val="Hyperlink"/>
          </w:rPr>
          <w:t xml:space="preserve">https://doi.org/10.1038/s42003-019-0410-x</w:t>
        </w:r>
      </w:hyperlink>
      <w:r>
        <w:t xml:space="preserve">.</w:t>
      </w:r>
    </w:p>
    <w:bookmarkEnd w:id="309"/>
    <w:bookmarkStart w:id="311" w:name="ref-Thiel2023-wv"/>
    <w:p>
      <w:pPr>
        <w:pStyle w:val="Bibliography"/>
      </w:pPr>
      <w:r>
        <w:t xml:space="preserve">Thiel, Daniel, Luis Alfonso Yañez-Guerra, Amanda Kieswetter, et al. 2023.</w:t>
      </w:r>
      <w:r>
        <w:t xml:space="preserve"> </w:t>
      </w:r>
      <w:r>
        <w:t xml:space="preserve">“Large-Scale Deorphanization of</w:t>
      </w:r>
      <w:r>
        <w:t xml:space="preserve"> </w:t>
      </w:r>
      <w:r>
        <w:rPr>
          <w:i/>
          <w:iCs/>
        </w:rPr>
        <w:t xml:space="preserve">Nematostella Vectensis</w:t>
      </w:r>
      <w:r>
        <w:t xml:space="preserve"> </w:t>
      </w:r>
      <w:r>
        <w:t xml:space="preserve">Neuropeptide</w:t>
      </w:r>
      <w:r>
        <w:t xml:space="preserve"> </w:t>
      </w:r>
      <w:r>
        <w:t xml:space="preserve">GPCRs</w:t>
      </w:r>
      <w:r>
        <w:t xml:space="preserve"> </w:t>
      </w:r>
      <w:r>
        <w:t xml:space="preserve">Supports the Independent Expansion of Bilaterian and Cnidarian Peptidergic Systems.”</w:t>
      </w:r>
      <w:r>
        <w:t xml:space="preserve"> </w:t>
      </w:r>
      <w:r>
        <w:rPr>
          <w:i/>
          <w:iCs/>
        </w:rPr>
        <w:t xml:space="preserve">bioRxiv</w:t>
      </w:r>
      <w:r>
        <w:t xml:space="preserve">, 2023.07.03.547448.</w:t>
      </w:r>
      <w:r>
        <w:t xml:space="preserve"> </w:t>
      </w:r>
      <w:hyperlink r:id="rId310">
        <w:r>
          <w:rPr>
            <w:rStyle w:val="Hyperlink"/>
          </w:rPr>
          <w:t xml:space="preserve">https://doi.org/10.1101/2023.07.03.547448</w:t>
        </w:r>
      </w:hyperlink>
      <w:r>
        <w:t xml:space="preserve">.</w:t>
      </w:r>
    </w:p>
    <w:bookmarkEnd w:id="311"/>
    <w:bookmarkStart w:id="313" w:name="ref-Twan2006-hy"/>
    <w:p>
      <w:pPr>
        <w:pStyle w:val="Bibliography"/>
      </w:pPr>
      <w:r>
        <w:t xml:space="preserve">Twan, Wen-Hung, Jiang-Shiou Hwang, Yan-Horn Lee, Hua-Fang Wu, Ying-Hsiu Tung, and Ching-Fong Chang. 2006.</w:t>
      </w:r>
      <w:r>
        <w:t xml:space="preserve"> </w:t>
      </w:r>
      <w:r>
        <w:t xml:space="preserve">“Hormones and Reproduction in Scleractinian Corals.”</w:t>
      </w:r>
      <w:r>
        <w:t xml:space="preserve"> </w:t>
      </w:r>
      <w:r>
        <w:rPr>
          <w:i/>
          <w:iCs/>
        </w:rPr>
        <w:t xml:space="preserve">Comparative Biochemistry and Physiology. Part A, Molecular &amp; Integrative Physiology</w:t>
      </w:r>
      <w:r>
        <w:t xml:space="preserve"> </w:t>
      </w:r>
      <w:r>
        <w:t xml:space="preserve">144 (July): 247–53.</w:t>
      </w:r>
      <w:r>
        <w:t xml:space="preserve"> </w:t>
      </w:r>
      <w:hyperlink r:id="rId312">
        <w:r>
          <w:rPr>
            <w:rStyle w:val="Hyperlink"/>
          </w:rPr>
          <w:t xml:space="preserve">https://doi.org/10.1016/j.cbpa.2006.01.011</w:t>
        </w:r>
      </w:hyperlink>
      <w:r>
        <w:t xml:space="preserve">.</w:t>
      </w:r>
    </w:p>
    <w:bookmarkEnd w:id="313"/>
    <w:bookmarkStart w:id="315" w:name="ref-Vandenberg2021-kn"/>
    <w:p>
      <w:pPr>
        <w:pStyle w:val="Bibliography"/>
      </w:pPr>
      <w:r>
        <w:t xml:space="preserve">Vandenberg, Laura N. 2021.</w:t>
      </w:r>
      <w:r>
        <w:t xml:space="preserve"> </w:t>
      </w:r>
      <w:r>
        <w:t xml:space="preserve">“Endocrine Disrupting Chemicals: Strategies to Protect Present and Future Generations.”</w:t>
      </w:r>
      <w:r>
        <w:t xml:space="preserve"> </w:t>
      </w:r>
      <w:r>
        <w:rPr>
          <w:i/>
          <w:iCs/>
        </w:rPr>
        <w:t xml:space="preserve">Expert Review of Endocrinology &amp; Metabolism</w:t>
      </w:r>
      <w:r>
        <w:t xml:space="preserve"> </w:t>
      </w:r>
      <w:r>
        <w:t xml:space="preserve">16 (May): 135–46.</w:t>
      </w:r>
      <w:r>
        <w:t xml:space="preserve"> </w:t>
      </w:r>
      <w:hyperlink r:id="rId314">
        <w:r>
          <w:rPr>
            <w:rStyle w:val="Hyperlink"/>
          </w:rPr>
          <w:t xml:space="preserve">https://doi.org/10.1080/17446651.2021.1917991</w:t>
        </w:r>
      </w:hyperlink>
      <w:r>
        <w:t xml:space="preserve">.</w:t>
      </w:r>
    </w:p>
    <w:bookmarkEnd w:id="315"/>
    <w:bookmarkStart w:id="317" w:name="ref-Vandenberg2012-ok"/>
    <w:p>
      <w:pPr>
        <w:pStyle w:val="Bibliography"/>
      </w:pPr>
      <w:r>
        <w:t xml:space="preserve">Vandenberg, Laura N, Theo Colborn, Tyrone B Hayes, et al. 2012.</w:t>
      </w:r>
      <w:r>
        <w:t xml:space="preserve"> </w:t>
      </w:r>
      <w:r>
        <w:t xml:space="preserve">“Hormones and Endocrine-Disrupting Chemicals: Low-Dose Effects and Nonmonotonic Dose Responses.”</w:t>
      </w:r>
      <w:r>
        <w:t xml:space="preserve"> </w:t>
      </w:r>
      <w:r>
        <w:rPr>
          <w:i/>
          <w:iCs/>
        </w:rPr>
        <w:t xml:space="preserve">Endocrine Reviews</w:t>
      </w:r>
      <w:r>
        <w:t xml:space="preserve"> </w:t>
      </w:r>
      <w:r>
        <w:t xml:space="preserve">33 (June): 378–455.</w:t>
      </w:r>
      <w:r>
        <w:t xml:space="preserve"> </w:t>
      </w:r>
      <w:hyperlink r:id="rId316">
        <w:r>
          <w:rPr>
            <w:rStyle w:val="Hyperlink"/>
          </w:rPr>
          <w:t xml:space="preserve">https://doi.org/10.1210/er.2011-1050</w:t>
        </w:r>
      </w:hyperlink>
      <w:r>
        <w:t xml:space="preserve">.</w:t>
      </w:r>
    </w:p>
    <w:bookmarkEnd w:id="317"/>
    <w:bookmarkStart w:id="319" w:name="ref-Vega-Thurber2009-co"/>
    <w:p>
      <w:pPr>
        <w:pStyle w:val="Bibliography"/>
      </w:pPr>
      <w:r>
        <w:t xml:space="preserve">Vega Thurber, Rebecca, Dana Willner-Hall, Beltran Rodriguez-Mueller, et al. 2009.</w:t>
      </w:r>
      <w:r>
        <w:t xml:space="preserve"> </w:t>
      </w:r>
      <w:r>
        <w:t xml:space="preserve">“Metagenomic Analysis of Stressed Coral Holobionts.”</w:t>
      </w:r>
      <w:r>
        <w:t xml:space="preserve"> </w:t>
      </w:r>
      <w:r>
        <w:rPr>
          <w:i/>
          <w:iCs/>
        </w:rPr>
        <w:t xml:space="preserve">Environmental Microbiology</w:t>
      </w:r>
      <w:r>
        <w:t xml:space="preserve"> </w:t>
      </w:r>
      <w:r>
        <w:t xml:space="preserve">11 (August): 2148–63.</w:t>
      </w:r>
      <w:r>
        <w:t xml:space="preserve"> </w:t>
      </w:r>
      <w:hyperlink r:id="rId318">
        <w:r>
          <w:rPr>
            <w:rStyle w:val="Hyperlink"/>
          </w:rPr>
          <w:t xml:space="preserve">https://doi.org/10.1111/j.1462-2920.2009.01935.x</w:t>
        </w:r>
      </w:hyperlink>
      <w:r>
        <w:t xml:space="preserve">.</w:t>
      </w:r>
    </w:p>
    <w:bookmarkEnd w:id="319"/>
    <w:bookmarkStart w:id="321" w:name="ref-Vered2022-lk"/>
    <w:p>
      <w:pPr>
        <w:pStyle w:val="Bibliography"/>
      </w:pPr>
      <w:r>
        <w:t xml:space="preserve">Vered, Gal, and Noa Shenkar. 2022.</w:t>
      </w:r>
      <w:r>
        <w:t xml:space="preserve"> </w:t>
      </w:r>
      <w:r>
        <w:t xml:space="preserve">“Limited Effects of Environmentally-Relevant Concentrations in Seawater of Dibutyl Phthalate, Dimethyl Phthalate, Bisphenol a, and 4-Nonylphenol on the Reproductive Products of Coral-Reef Organisms.”</w:t>
      </w:r>
      <w:r>
        <w:t xml:space="preserve"> </w:t>
      </w:r>
      <w:r>
        <w:rPr>
          <w:i/>
          <w:iCs/>
        </w:rPr>
        <w:t xml:space="preserve">Environmental Pollution (Barking, Essex: 1987)</w:t>
      </w:r>
      <w:r>
        <w:t xml:space="preserve"> </w:t>
      </w:r>
      <w:r>
        <w:t xml:space="preserve">314 (December): 120285.</w:t>
      </w:r>
      <w:r>
        <w:t xml:space="preserve"> </w:t>
      </w:r>
      <w:hyperlink r:id="rId320">
        <w:r>
          <w:rPr>
            <w:rStyle w:val="Hyperlink"/>
          </w:rPr>
          <w:t xml:space="preserve">https://doi.org/10.1016/j.envpol.2022.120285</w:t>
        </w:r>
      </w:hyperlink>
      <w:r>
        <w:t xml:space="preserve">.</w:t>
      </w:r>
    </w:p>
    <w:bookmarkEnd w:id="321"/>
    <w:bookmarkStart w:id="323" w:name="ref-Villela2023-ik"/>
    <w:p>
      <w:pPr>
        <w:pStyle w:val="Bibliography"/>
      </w:pPr>
      <w:r>
        <w:t xml:space="preserve">Villela, Helena, Flúvio Modolon, Júnia Schultz, et al. 2023.</w:t>
      </w:r>
      <w:r>
        <w:t xml:space="preserve"> </w:t>
      </w:r>
      <w:r>
        <w:t xml:space="preserve">“Genome Analysis of a Coral-Associated Bacterial Consortium Highlights Complementary Hydrocarbon Degradation Ability and Other Beneficial Mechanisms for the Host.”</w:t>
      </w:r>
      <w:r>
        <w:t xml:space="preserve"> </w:t>
      </w:r>
      <w:r>
        <w:rPr>
          <w:i/>
          <w:iCs/>
        </w:rPr>
        <w:t xml:space="preserve">Scientific Reports</w:t>
      </w:r>
      <w:r>
        <w:t xml:space="preserve"> </w:t>
      </w:r>
      <w:r>
        <w:t xml:space="preserve">13 (July): 12273.</w:t>
      </w:r>
      <w:r>
        <w:t xml:space="preserve"> </w:t>
      </w:r>
      <w:hyperlink r:id="rId322">
        <w:r>
          <w:rPr>
            <w:rStyle w:val="Hyperlink"/>
          </w:rPr>
          <w:t xml:space="preserve">https://doi.org/10.1038/s41598-023-38512-z</w:t>
        </w:r>
      </w:hyperlink>
      <w:r>
        <w:t xml:space="preserve">.</w:t>
      </w:r>
    </w:p>
    <w:bookmarkEnd w:id="323"/>
    <w:bookmarkStart w:id="325" w:name="ref-Vlaanderen2023-db"/>
    <w:p>
      <w:pPr>
        <w:pStyle w:val="Bibliography"/>
      </w:pPr>
      <w:r>
        <w:t xml:space="preserve">Vlaanderen, Eric, Timothy Ghaly, Lisa Moore, Amaranta Focardi, Ian Paulsen, and Sasha Tetu. 2023.</w:t>
      </w:r>
      <w:r>
        <w:t xml:space="preserve"> </w:t>
      </w:r>
      <w:r>
        <w:t xml:space="preserve">“Plastic Leachate Exposure Drives Antibiotic Resistance and Virulence in Marine Bacterial Communities.”</w:t>
      </w:r>
      <w:r>
        <w:t xml:space="preserve"> </w:t>
      </w:r>
      <w:r>
        <w:rPr>
          <w:i/>
          <w:iCs/>
        </w:rPr>
        <w:t xml:space="preserve">bioRxiv</w:t>
      </w:r>
      <w:r>
        <w:t xml:space="preserve">, February 14, 2023.02.13.528379.</w:t>
      </w:r>
      <w:r>
        <w:t xml:space="preserve"> </w:t>
      </w:r>
      <w:hyperlink r:id="rId324">
        <w:r>
          <w:rPr>
            <w:rStyle w:val="Hyperlink"/>
          </w:rPr>
          <w:t xml:space="preserve">https://doi.org/10.1101/2023.02.13.528379</w:t>
        </w:r>
      </w:hyperlink>
      <w:r>
        <w:t xml:space="preserve">.</w:t>
      </w:r>
    </w:p>
    <w:bookmarkEnd w:id="325"/>
    <w:bookmarkStart w:id="327" w:name="ref-Wang2012-zu"/>
    <w:p>
      <w:pPr>
        <w:pStyle w:val="Bibliography"/>
      </w:pPr>
      <w:r>
        <w:t xml:space="preserve">Wang, Yi, Ulrike Naumann, Stephen T Wright, and David I Warton. 2012.</w:t>
      </w:r>
      <w:r>
        <w:t xml:space="preserve"> </w:t>
      </w:r>
      <w:r>
        <w:t xml:space="preserve">“Mvabund– an</w:t>
      </w:r>
      <w:r>
        <w:t xml:space="preserve"> </w:t>
      </w:r>
      <w:r>
        <w:t xml:space="preserve">R</w:t>
      </w:r>
      <w:r>
        <w:t xml:space="preserve"> </w:t>
      </w:r>
      <w:r>
        <w:t xml:space="preserve">Package for Model‐based Analysis of Multivariate Abundance Data: The Mvabund</w:t>
      </w:r>
      <w:r>
        <w:t xml:space="preserve"> </w:t>
      </w:r>
      <w:r>
        <w:t xml:space="preserve">R</w:t>
      </w:r>
      <w:r>
        <w:t xml:space="preserve"> </w:t>
      </w:r>
      <w:r>
        <w:t xml:space="preserve">Package.”</w:t>
      </w:r>
      <w:r>
        <w:t xml:space="preserve"> </w:t>
      </w:r>
      <w:r>
        <w:rPr>
          <w:i/>
          <w:iCs/>
        </w:rPr>
        <w:t xml:space="preserve">Methods in Ecology and Evolution</w:t>
      </w:r>
      <w:r>
        <w:t xml:space="preserve"> </w:t>
      </w:r>
      <w:r>
        <w:t xml:space="preserve">3 (June): 471–74.</w:t>
      </w:r>
      <w:r>
        <w:t xml:space="preserve"> </w:t>
      </w:r>
      <w:hyperlink r:id="rId326">
        <w:r>
          <w:rPr>
            <w:rStyle w:val="Hyperlink"/>
          </w:rPr>
          <w:t xml:space="preserve">https://doi.org/10.1111/j.2041-210x.2012.00190.x</w:t>
        </w:r>
      </w:hyperlink>
      <w:r>
        <w:t xml:space="preserve">.</w:t>
      </w:r>
    </w:p>
    <w:bookmarkEnd w:id="327"/>
    <w:bookmarkStart w:id="329" w:name="ref-Weis2021-xx"/>
    <w:p>
      <w:pPr>
        <w:pStyle w:val="Bibliography"/>
      </w:pPr>
      <w:r>
        <w:t xml:space="preserve">Weis, Judith S, and Karl H Palmquist. 2021.</w:t>
      </w:r>
      <w:r>
        <w:t xml:space="preserve"> </w:t>
      </w:r>
      <w:r>
        <w:t xml:space="preserve">“Reality Check: Experimental Studies on Microplastics Lack Realism.”</w:t>
      </w:r>
      <w:r>
        <w:t xml:space="preserve"> </w:t>
      </w:r>
      <w:r>
        <w:rPr>
          <w:i/>
          <w:iCs/>
        </w:rPr>
        <w:t xml:space="preserve">Applied Sciences (Basel, Switzerland)</w:t>
      </w:r>
      <w:r>
        <w:t xml:space="preserve"> </w:t>
      </w:r>
      <w:r>
        <w:t xml:space="preserve">11 (September): 8529.</w:t>
      </w:r>
      <w:r>
        <w:t xml:space="preserve"> </w:t>
      </w:r>
      <w:hyperlink r:id="rId328">
        <w:r>
          <w:rPr>
            <w:rStyle w:val="Hyperlink"/>
          </w:rPr>
          <w:t xml:space="preserve">https://doi.org/10.3390/app11188529</w:t>
        </w:r>
      </w:hyperlink>
      <w:r>
        <w:t xml:space="preserve">.</w:t>
      </w:r>
    </w:p>
    <w:bookmarkEnd w:id="329"/>
    <w:bookmarkStart w:id="331" w:name="ref-Wickham2019-fw"/>
    <w:p>
      <w:pPr>
        <w:pStyle w:val="Bibliography"/>
      </w:pPr>
      <w:r>
        <w:t xml:space="preserve">Wickham, Hadley, Mara Averick, Jennifer Bryan, et al. 2019.</w:t>
      </w:r>
      <w:r>
        <w:t xml:space="preserve"> </w:t>
      </w:r>
      <w:r>
        <w:t xml:space="preserve">“Welcome to the Tidyverse.”</w:t>
      </w:r>
      <w:r>
        <w:t xml:space="preserve"> </w:t>
      </w:r>
      <w:r>
        <w:rPr>
          <w:i/>
          <w:iCs/>
        </w:rPr>
        <w:t xml:space="preserve">Journal of Open Source Software</w:t>
      </w:r>
      <w:r>
        <w:t xml:space="preserve"> </w:t>
      </w:r>
      <w:r>
        <w:t xml:space="preserve">4 (November): 1686.</w:t>
      </w:r>
      <w:r>
        <w:t xml:space="preserve"> </w:t>
      </w:r>
      <w:hyperlink r:id="rId330">
        <w:r>
          <w:rPr>
            <w:rStyle w:val="Hyperlink"/>
          </w:rPr>
          <w:t xml:space="preserve">https://doi.org/10.21105/joss.01686</w:t>
        </w:r>
      </w:hyperlink>
      <w:r>
        <w:t xml:space="preserve">.</w:t>
      </w:r>
    </w:p>
    <w:bookmarkEnd w:id="331"/>
    <w:bookmarkStart w:id="333" w:name="ref-Wilkins2025-xg"/>
    <w:p>
      <w:pPr>
        <w:pStyle w:val="Bibliography"/>
      </w:pPr>
      <w:r>
        <w:t xml:space="preserve">Wilkins, Keiko W, and Robert H Richmond. 2025.</w:t>
      </w:r>
      <w:r>
        <w:t xml:space="preserve"> </w:t>
      </w:r>
      <w:r>
        <w:t xml:space="preserve">“Unseen Threats: Negative Effects of Microplastic Leachate on Coral Planulae Settlement.”</w:t>
      </w:r>
      <w:r>
        <w:t xml:space="preserve"> </w:t>
      </w:r>
      <w:r>
        <w:rPr>
          <w:i/>
          <w:iCs/>
        </w:rPr>
        <w:t xml:space="preserve">Frontiers in Marine Science</w:t>
      </w:r>
      <w:r>
        <w:t xml:space="preserve"> </w:t>
      </w:r>
      <w:r>
        <w:t xml:space="preserve">12 (July): 1596594.</w:t>
      </w:r>
      <w:r>
        <w:t xml:space="preserve"> </w:t>
      </w:r>
      <w:hyperlink r:id="rId332">
        <w:r>
          <w:rPr>
            <w:rStyle w:val="Hyperlink"/>
          </w:rPr>
          <w:t xml:space="preserve">https://doi.org/10.3389/fmars.2025.1596594</w:t>
        </w:r>
      </w:hyperlink>
      <w:r>
        <w:t xml:space="preserve">.</w:t>
      </w:r>
    </w:p>
    <w:bookmarkEnd w:id="333"/>
    <w:bookmarkStart w:id="335" w:name="ref-Wilkins2024-nz"/>
    <w:p>
      <w:pPr>
        <w:pStyle w:val="Bibliography"/>
      </w:pPr>
      <w:r>
        <w:t xml:space="preserve">Wilkins, Keiko W, Joanne Y Yew, Meredith Seeley, and Robert H Richmond. 2024.</w:t>
      </w:r>
      <w:r>
        <w:t xml:space="preserve"> </w:t>
      </w:r>
      <w:r>
        <w:t xml:space="preserve">“Microplastic Leachate Negatively Affects Fertilization in the Coral</w:t>
      </w:r>
      <w:r>
        <w:t xml:space="preserve"> </w:t>
      </w:r>
      <w:r>
        <w:rPr>
          <w:i/>
          <w:iCs/>
        </w:rPr>
        <w:t xml:space="preserve">Montipora Capitata</w:t>
      </w:r>
      <w:r>
        <w:t xml:space="preserve">.”</w:t>
      </w:r>
      <w:r>
        <w:t xml:space="preserve"> </w:t>
      </w:r>
      <w:r>
        <w:rPr>
          <w:i/>
          <w:iCs/>
        </w:rPr>
        <w:t xml:space="preserve">Integrative and Comparative Biology</w:t>
      </w:r>
      <w:r>
        <w:t xml:space="preserve"> </w:t>
      </w:r>
      <w:r>
        <w:t xml:space="preserve">64 (October): 1131–40.</w:t>
      </w:r>
      <w:r>
        <w:t xml:space="preserve"> </w:t>
      </w:r>
      <w:hyperlink r:id="rId334">
        <w:r>
          <w:rPr>
            <w:rStyle w:val="Hyperlink"/>
          </w:rPr>
          <w:t xml:space="preserve">https://doi.org/10.1093/icb/icae143</w:t>
        </w:r>
      </w:hyperlink>
      <w:r>
        <w:t xml:space="preserve">.</w:t>
      </w:r>
    </w:p>
    <w:bookmarkEnd w:id="335"/>
    <w:bookmarkStart w:id="337" w:name="ref-Woolsey2013-ro"/>
    <w:p>
      <w:pPr>
        <w:pStyle w:val="Bibliography"/>
      </w:pPr>
      <w:r>
        <w:t xml:space="preserve">Woolsey, E S, M Byrne, and A H Baird. 2013.</w:t>
      </w:r>
      <w:r>
        <w:t xml:space="preserve"> </w:t>
      </w:r>
      <w:r>
        <w:t xml:space="preserve">“The Effects of Temperature on Embryonic Development and Larval Survival in Two Scleractinian Corals.”</w:t>
      </w:r>
      <w:r>
        <w:t xml:space="preserve"> </w:t>
      </w:r>
      <w:r>
        <w:rPr>
          <w:i/>
          <w:iCs/>
        </w:rPr>
        <w:t xml:space="preserve">Marine Ecology Progress Series</w:t>
      </w:r>
      <w:r>
        <w:t xml:space="preserve"> </w:t>
      </w:r>
      <w:r>
        <w:t xml:space="preserve">493 (November): 179–84.</w:t>
      </w:r>
      <w:r>
        <w:t xml:space="preserve"> </w:t>
      </w:r>
      <w:hyperlink r:id="rId336">
        <w:r>
          <w:rPr>
            <w:rStyle w:val="Hyperlink"/>
          </w:rPr>
          <w:t xml:space="preserve">https://doi.org/10.3354/meps10499</w:t>
        </w:r>
      </w:hyperlink>
      <w:r>
        <w:t xml:space="preserve">.</w:t>
      </w:r>
    </w:p>
    <w:bookmarkEnd w:id="337"/>
    <w:bookmarkStart w:id="339" w:name="ref-Xu2021-fr"/>
    <w:p>
      <w:pPr>
        <w:pStyle w:val="Bibliography"/>
      </w:pPr>
      <w:r>
        <w:t xml:space="preserve">Xu, Hai’e, Wanshuang Cao, Hongliang Sun, et al. 2021.</w:t>
      </w:r>
      <w:r>
        <w:t xml:space="preserve"> </w:t>
      </w:r>
      <w:r>
        <w:t xml:space="preserve">“Dose-Dependent Effects of Di-(2-Ethylhexyl) Phthalate (</w:t>
      </w:r>
      <w:r>
        <w:t xml:space="preserve">DEHP</w:t>
      </w:r>
      <w:r>
        <w:t xml:space="preserve">) in Mussel Mytilus Galloprovincialis.”</w:t>
      </w:r>
      <w:r>
        <w:t xml:space="preserve"> </w:t>
      </w:r>
      <w:r>
        <w:rPr>
          <w:i/>
          <w:iCs/>
        </w:rPr>
        <w:t xml:space="preserve">Frontiers in Marine Science</w:t>
      </w:r>
      <w:r>
        <w:t xml:space="preserve"> </w:t>
      </w:r>
      <w:r>
        <w:t xml:space="preserve">8 (May): 658361.</w:t>
      </w:r>
      <w:r>
        <w:t xml:space="preserve"> </w:t>
      </w:r>
      <w:hyperlink r:id="rId338">
        <w:r>
          <w:rPr>
            <w:rStyle w:val="Hyperlink"/>
          </w:rPr>
          <w:t xml:space="preserve">https://doi.org/10.3389/fmars.2021.658361</w:t>
        </w:r>
      </w:hyperlink>
      <w:r>
        <w:t xml:space="preserve">.</w:t>
      </w:r>
    </w:p>
    <w:bookmarkEnd w:id="339"/>
    <w:bookmarkStart w:id="341" w:name="ref-Zhang2021-zd"/>
    <w:p>
      <w:pPr>
        <w:pStyle w:val="Bibliography"/>
      </w:pPr>
      <w:r>
        <w:t xml:space="preserve">Zhang, Ying, Yaqi Jiao, Zixu Li, Yue Tao, and Yang Yang. 2021.</w:t>
      </w:r>
      <w:r>
        <w:t xml:space="preserve"> </w:t>
      </w:r>
      <w:r>
        <w:t xml:space="preserve">“Hazards of Phthalates (</w:t>
      </w:r>
      <w:r>
        <w:t xml:space="preserve">PAEs</w:t>
      </w:r>
      <w:r>
        <w:t xml:space="preserve">) Exposure: A Review of Aquatic Animal Toxicology Studies.”</w:t>
      </w:r>
      <w:r>
        <w:t xml:space="preserve"> </w:t>
      </w:r>
      <w:r>
        <w:rPr>
          <w:i/>
          <w:iCs/>
        </w:rPr>
        <w:t xml:space="preserve">The Science of the Total Environment</w:t>
      </w:r>
      <w:r>
        <w:t xml:space="preserve"> </w:t>
      </w:r>
      <w:r>
        <w:t xml:space="preserve">771 (June): 145418.</w:t>
      </w:r>
      <w:r>
        <w:t xml:space="preserve"> </w:t>
      </w:r>
      <w:hyperlink r:id="rId340">
        <w:r>
          <w:rPr>
            <w:rStyle w:val="Hyperlink"/>
          </w:rPr>
          <w:t xml:space="preserve">https://doi.org/10.1016/j.scitotenv.2021.145418</w:t>
        </w:r>
      </w:hyperlink>
      <w:r>
        <w:t xml:space="preserve">.</w:t>
      </w:r>
    </w:p>
    <w:bookmarkEnd w:id="341"/>
    <w:bookmarkEnd w:id="342"/>
    <w:bookmarkEnd w:id="343"/>
    <w:sectPr>
      <w:footnotePr>
        <w:numRestart w:val="eachSect"/>
      </w:footnotePr>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num w:numId="1000">
    <w:abstractNumId w:val="990"/>
  </w:num>
  <w:num w:numId="1001">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EastAsia" w:hAnsiTheme="minorHAnsi"/>
        <w:sz w:val="24"/>
        <w:szCs w:val="24"/>
        <w:lang w:bidi="ar-SA" w:eastAsia="zh-CN"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8" Target="numbering.xml" /><Relationship Type="http://schemas.openxmlformats.org/officeDocument/2006/relationships/styles" Id="rId7" Target="styles.xml" /><Relationship Type="http://schemas.openxmlformats.org/officeDocument/2006/relationships/settings" Id="rId6" Target="settings.xml" /><Relationship Type="http://schemas.openxmlformats.org/officeDocument/2006/relationships/webSettings" Id="rId5" Target="webSettings.xml" /><Relationship Type="http://schemas.openxmlformats.org/officeDocument/2006/relationships/fontTable" Id="rId4" Target="fontTable.xml" /><Relationship Type="http://schemas.openxmlformats.org/officeDocument/2006/relationships/theme" Id="rId3" Target="theme/theme1.xml" /><Relationship Type="http://schemas.openxmlformats.org/officeDocument/2006/relationships/footnotes" Id="rId2" Target="footnotes.xml" /><Relationship Type="http://schemas.openxmlformats.org/officeDocument/2006/relationships/comments" Id="rId1" Target="comments.xml" /><Relationship Type="http://schemas.openxmlformats.org/officeDocument/2006/relationships/image" Id="rId83" Target="media/rId83.png" /><Relationship Type="http://schemas.openxmlformats.org/officeDocument/2006/relationships/image" Id="rId88" Target="media/rId88.png" /><Relationship Type="http://schemas.openxmlformats.org/officeDocument/2006/relationships/image" Id="rId67" Target="media/rId67.png" /><Relationship Type="http://schemas.openxmlformats.org/officeDocument/2006/relationships/image" Id="rId122" Target="media/rId122.png" /><Relationship Type="http://schemas.openxmlformats.org/officeDocument/2006/relationships/image" Id="rId62" Target="media/rId62.png" /><Relationship Type="http://schemas.openxmlformats.org/officeDocument/2006/relationships/image" Id="rId97" Target="media/rId97.png" /><Relationship Type="http://schemas.openxmlformats.org/officeDocument/2006/relationships/image" Id="rId102" Target="media/rId102.png" /><Relationship Type="http://schemas.openxmlformats.org/officeDocument/2006/relationships/image" Id="rId77" Target="media/rId77.png" /><Relationship Type="http://schemas.openxmlformats.org/officeDocument/2006/relationships/image" Id="rId21" Target="media/rId21.png" /><Relationship Type="http://schemas.openxmlformats.org/officeDocument/2006/relationships/image" Id="rId92" Target="media/rId92.png" /><Relationship Type="http://schemas.openxmlformats.org/officeDocument/2006/relationships/image" Id="rId9" Target="media/rId9.png" /><Relationship Type="http://schemas.openxmlformats.org/officeDocument/2006/relationships/image" Id="rId73" Target="media/rId73.png" /><Relationship Type="http://schemas.openxmlformats.org/officeDocument/2006/relationships/image" Id="rId14" Target="media/rId14.png" /><Relationship Type="http://schemas.openxmlformats.org/officeDocument/2006/relationships/image" Id="rId46" Target="media/rId46.png" /><Relationship Type="http://schemas.openxmlformats.org/officeDocument/2006/relationships/image" Id="rId52" Target="media/rId52.png" /><Relationship Type="http://schemas.openxmlformats.org/officeDocument/2006/relationships/image" Id="rId56" Target="media/rId56.png" /><Relationship Type="http://schemas.openxmlformats.org/officeDocument/2006/relationships/image" Id="rId126" Target="media/rId126.png" /><Relationship Type="http://schemas.openxmlformats.org/officeDocument/2006/relationships/hyperlink" Id="rId238" Target="https://apps.ecology.wa.gov/publications/documents/2203027.pdf" TargetMode="External" /><Relationship Type="http://schemas.openxmlformats.org/officeDocument/2006/relationships/hyperlink" Id="rId230" Target="https://doi.org/10.1002/9781119768432.ch2" TargetMode="External" /><Relationship Type="http://schemas.openxmlformats.org/officeDocument/2006/relationships/hyperlink" Id="rId286" Target="https://doi.org/10.1002/etc.4371" TargetMode="External" /><Relationship Type="http://schemas.openxmlformats.org/officeDocument/2006/relationships/hyperlink" Id="rId154" Target="https://doi.org/10.1002/imt2.107" TargetMode="External" /><Relationship Type="http://schemas.openxmlformats.org/officeDocument/2006/relationships/hyperlink" Id="rId186" Target="https://doi.org/10.1006/mpev.2001.0994" TargetMode="External" /><Relationship Type="http://schemas.openxmlformats.org/officeDocument/2006/relationships/hyperlink" Id="rId280" Target="https://doi.org/10.1007/978-1-4615-5995-5_8" TargetMode="External" /><Relationship Type="http://schemas.openxmlformats.org/officeDocument/2006/relationships/hyperlink" Id="rId144" Target="https://doi.org/10.1007/bf00291932" TargetMode="External" /><Relationship Type="http://schemas.openxmlformats.org/officeDocument/2006/relationships/hyperlink" Id="rId256" Target="https://doi.org/10.1007/s00338-010-0700-8" TargetMode="External" /><Relationship Type="http://schemas.openxmlformats.org/officeDocument/2006/relationships/hyperlink" Id="rId290" Target="https://doi.org/10.1007/s003380050158" TargetMode="External" /><Relationship Type="http://schemas.openxmlformats.org/officeDocument/2006/relationships/hyperlink" Id="rId176" Target="https://doi.org/10.1007/s10533-012-9719-y" TargetMode="External" /><Relationship Type="http://schemas.openxmlformats.org/officeDocument/2006/relationships/hyperlink" Id="rId304" Target="https://doi.org/10.1007/s10646-006-0121-1" TargetMode="External" /><Relationship Type="http://schemas.openxmlformats.org/officeDocument/2006/relationships/hyperlink" Id="rId212" Target="https://doi.org/10.1016/0923-2508(96)80560-2" TargetMode="External" /><Relationship Type="http://schemas.openxmlformats.org/officeDocument/2006/relationships/hyperlink" Id="rId312" Target="https://doi.org/10.1016/j.cbpa.2006.01.011" TargetMode="External" /><Relationship Type="http://schemas.openxmlformats.org/officeDocument/2006/relationships/hyperlink" Id="rId196" Target="https://doi.org/10.1016/j.chemosphere.2017.05.096" TargetMode="External" /><Relationship Type="http://schemas.openxmlformats.org/officeDocument/2006/relationships/hyperlink" Id="rId288" Target="https://doi.org/10.1016/j.chroma.2020.460852" TargetMode="External" /><Relationship Type="http://schemas.openxmlformats.org/officeDocument/2006/relationships/hyperlink" Id="rId202" Target="https://doi.org/10.1016/j.cub.2025.05.013" TargetMode="External" /><Relationship Type="http://schemas.openxmlformats.org/officeDocument/2006/relationships/hyperlink" Id="rId138" Target="https://doi.org/10.1016/j.ecoenv.2011.07.037" TargetMode="External" /><Relationship Type="http://schemas.openxmlformats.org/officeDocument/2006/relationships/hyperlink" Id="rId180" Target="https://doi.org/10.1016/j.ecoenv.2024.116473" TargetMode="External" /><Relationship Type="http://schemas.openxmlformats.org/officeDocument/2006/relationships/hyperlink" Id="rId278" Target="https://doi.org/10.1016/j.envpol.2020.115744" TargetMode="External" /><Relationship Type="http://schemas.openxmlformats.org/officeDocument/2006/relationships/hyperlink" Id="rId320" Target="https://doi.org/10.1016/j.envpol.2022.120285" TargetMode="External" /><Relationship Type="http://schemas.openxmlformats.org/officeDocument/2006/relationships/hyperlink" Id="rId152" Target="https://doi.org/10.1016/j.envpol.2022.120951" TargetMode="External" /><Relationship Type="http://schemas.openxmlformats.org/officeDocument/2006/relationships/hyperlink" Id="rId192" Target="https://doi.org/10.1016/j.jhazmat.2017.10.014" TargetMode="External" /><Relationship Type="http://schemas.openxmlformats.org/officeDocument/2006/relationships/hyperlink" Id="rId236" Target="https://doi.org/10.1016/j.lfs.2015.10.022" TargetMode="External" /><Relationship Type="http://schemas.openxmlformats.org/officeDocument/2006/relationships/hyperlink" Id="rId136" Target="https://doi.org/10.1016/j.marpolbul.2012.08.029" TargetMode="External" /><Relationship Type="http://schemas.openxmlformats.org/officeDocument/2006/relationships/hyperlink" Id="rId214" Target="https://doi.org/10.1016/j.marpolbul.2023.115604" TargetMode="External" /><Relationship Type="http://schemas.openxmlformats.org/officeDocument/2006/relationships/hyperlink" Id="rId172" Target="https://doi.org/10.1016/j.oneear.2021.08.016" TargetMode="External" /><Relationship Type="http://schemas.openxmlformats.org/officeDocument/2006/relationships/hyperlink" Id="rId272" Target="https://doi.org/10.1016/j.reprotox.2007.11.002" TargetMode="External" /><Relationship Type="http://schemas.openxmlformats.org/officeDocument/2006/relationships/hyperlink" Id="rId246" Target="https://doi.org/10.1016/j.scitotenv.2015.02.013" TargetMode="External" /><Relationship Type="http://schemas.openxmlformats.org/officeDocument/2006/relationships/hyperlink" Id="rId262" Target="https://doi.org/10.1016/j.scitotenv.2017.11.306" TargetMode="External" /><Relationship Type="http://schemas.openxmlformats.org/officeDocument/2006/relationships/hyperlink" Id="rId340" Target="https://doi.org/10.1016/j.scitotenv.2021.145418" TargetMode="External" /><Relationship Type="http://schemas.openxmlformats.org/officeDocument/2006/relationships/hyperlink" Id="rId260" Target="https://doi.org/10.1016/j.scitotenv.2022.160901" TargetMode="External" /><Relationship Type="http://schemas.openxmlformats.org/officeDocument/2006/relationships/hyperlink" Id="rId266" Target="https://doi.org/10.1016/j.scitotenv.2023.162557" TargetMode="External" /><Relationship Type="http://schemas.openxmlformats.org/officeDocument/2006/relationships/hyperlink" Id="rId206" Target="https://doi.org/10.1016/j.scitotenv.2024.170651" TargetMode="External" /><Relationship Type="http://schemas.openxmlformats.org/officeDocument/2006/relationships/hyperlink" Id="rId204" Target="https://doi.org/10.1016/j.scitotenv.2025.179239" TargetMode="External" /><Relationship Type="http://schemas.openxmlformats.org/officeDocument/2006/relationships/hyperlink" Id="rId268" Target="https://doi.org/10.1016/j.tim.2009.12.002" TargetMode="External" /><Relationship Type="http://schemas.openxmlformats.org/officeDocument/2006/relationships/hyperlink" Id="rId190" Target="https://doi.org/10.1016/j.watres.2020.116170" TargetMode="External" /><Relationship Type="http://schemas.openxmlformats.org/officeDocument/2006/relationships/hyperlink" Id="rId302" Target="https://doi.org/10.1016/s1095-6433(98)10155-1" TargetMode="External" /><Relationship Type="http://schemas.openxmlformats.org/officeDocument/2006/relationships/hyperlink" Id="rId306" Target="https://doi.org/10.1016/s1096-4959(03)00253-7" TargetMode="External" /><Relationship Type="http://schemas.openxmlformats.org/officeDocument/2006/relationships/hyperlink" Id="rId248" Target="https://doi.org/10.1038/ismej.2007.65" TargetMode="External" /><Relationship Type="http://schemas.openxmlformats.org/officeDocument/2006/relationships/hyperlink" Id="rId270" Target="https://doi.org/10.1038/nature12677" TargetMode="External" /><Relationship Type="http://schemas.openxmlformats.org/officeDocument/2006/relationships/hyperlink" Id="rId264" Target="https://doi.org/10.1038/nbt.3122" TargetMode="External" /><Relationship Type="http://schemas.openxmlformats.org/officeDocument/2006/relationships/hyperlink" Id="rId162" Target="https://doi.org/10.1038/s41467-020-19169-y" TargetMode="External" /><Relationship Type="http://schemas.openxmlformats.org/officeDocument/2006/relationships/hyperlink" Id="rId216" Target="https://doi.org/10.1038/s41587-019-0201-4" TargetMode="External" /><Relationship Type="http://schemas.openxmlformats.org/officeDocument/2006/relationships/hyperlink" Id="rId150" Target="https://doi.org/10.1038/s41587-019-0209-9" TargetMode="External" /><Relationship Type="http://schemas.openxmlformats.org/officeDocument/2006/relationships/hyperlink" Id="rId168" Target="https://doi.org/10.1038/s41587-020-0548-6" TargetMode="External" /><Relationship Type="http://schemas.openxmlformats.org/officeDocument/2006/relationships/hyperlink" Id="rId322" Target="https://doi.org/10.1038/s41598-023-38512-z" TargetMode="External" /><Relationship Type="http://schemas.openxmlformats.org/officeDocument/2006/relationships/hyperlink" Id="rId308" Target="https://doi.org/10.1038/s42003-019-0410-x" TargetMode="External" /><Relationship Type="http://schemas.openxmlformats.org/officeDocument/2006/relationships/hyperlink" Id="rId250" Target="https://doi.org/10.1073/pnas.0603422104" TargetMode="External" /><Relationship Type="http://schemas.openxmlformats.org/officeDocument/2006/relationships/hyperlink" Id="rId314" Target="https://doi.org/10.1080/17446651.2021.1917991" TargetMode="External" /><Relationship Type="http://schemas.openxmlformats.org/officeDocument/2006/relationships/hyperlink" Id="rId174" Target="https://doi.org/10.1093/bioinformatics/btw354" TargetMode="External" /><Relationship Type="http://schemas.openxmlformats.org/officeDocument/2006/relationships/hyperlink" Id="rId164" Target="https://doi.org/10.1093/gigascience/giab008" TargetMode="External" /><Relationship Type="http://schemas.openxmlformats.org/officeDocument/2006/relationships/hyperlink" Id="rId294" Target="https://doi.org/10.1093/gigascience/giac098" TargetMode="External" /><Relationship Type="http://schemas.openxmlformats.org/officeDocument/2006/relationships/hyperlink" Id="rId298" Target="https://doi.org/10.1093/icb/45.1.201" TargetMode="External" /><Relationship Type="http://schemas.openxmlformats.org/officeDocument/2006/relationships/hyperlink" Id="rId334" Target="https://doi.org/10.1093/icb/icae143" TargetMode="External" /><Relationship Type="http://schemas.openxmlformats.org/officeDocument/2006/relationships/hyperlink" Id="rId218" Target="https://doi.org/10.1099/ijs.0.65139-0" TargetMode="External" /><Relationship Type="http://schemas.openxmlformats.org/officeDocument/2006/relationships/hyperlink" Id="rId324" Target="https://doi.org/10.1101/2023.02.13.528379" TargetMode="External" /><Relationship Type="http://schemas.openxmlformats.org/officeDocument/2006/relationships/hyperlink" Id="rId200" Target="https://doi.org/10.1101/2023.03.20.533475" TargetMode="External" /><Relationship Type="http://schemas.openxmlformats.org/officeDocument/2006/relationships/hyperlink" Id="rId310" Target="https://doi.org/10.1101/2023.07.03.547448" TargetMode="External" /><Relationship Type="http://schemas.openxmlformats.org/officeDocument/2006/relationships/hyperlink" Id="rId194" Target="https://doi.org/10.1101/399766" TargetMode="External" /><Relationship Type="http://schemas.openxmlformats.org/officeDocument/2006/relationships/hyperlink" Id="rId254" Target="https://doi.org/10.1111/gcb.13647" TargetMode="External" /><Relationship Type="http://schemas.openxmlformats.org/officeDocument/2006/relationships/hyperlink" Id="rId318" Target="https://doi.org/10.1111/j.1462-2920.2009.01935.x" TargetMode="External" /><Relationship Type="http://schemas.openxmlformats.org/officeDocument/2006/relationships/hyperlink" Id="rId326" Target="https://doi.org/10.1111/j.2041-210x.2012.00190.x" TargetMode="External" /><Relationship Type="http://schemas.openxmlformats.org/officeDocument/2006/relationships/hyperlink" Id="rId242" Target="https://doi.org/10.1126/sciadv.aaz5803" TargetMode="External" /><Relationship Type="http://schemas.openxmlformats.org/officeDocument/2006/relationships/hyperlink" Id="rId198" Target="https://doi.org/10.1126/science.1216055" TargetMode="External" /><Relationship Type="http://schemas.openxmlformats.org/officeDocument/2006/relationships/hyperlink" Id="rId210" Target="https://doi.org/10.1126/science.1260352" TargetMode="External" /><Relationship Type="http://schemas.openxmlformats.org/officeDocument/2006/relationships/hyperlink" Id="rId222" Target="https://doi.org/10.1126/science.aar3320" TargetMode="External" /><Relationship Type="http://schemas.openxmlformats.org/officeDocument/2006/relationships/hyperlink" Id="rId296" Target="https://doi.org/10.1126/science.abb0354" TargetMode="External" /><Relationship Type="http://schemas.openxmlformats.org/officeDocument/2006/relationships/hyperlink" Id="rId232" Target="https://doi.org/10.1126/science.abg5433" TargetMode="External" /><Relationship Type="http://schemas.openxmlformats.org/officeDocument/2006/relationships/hyperlink" Id="rId160" Target="https://doi.org/10.1126/scisignal.aan1188" TargetMode="External" /><Relationship Type="http://schemas.openxmlformats.org/officeDocument/2006/relationships/hyperlink" Id="rId140" Target="https://doi.org/10.1128/AEM.01232-12" TargetMode="External" /><Relationship Type="http://schemas.openxmlformats.org/officeDocument/2006/relationships/hyperlink" Id="rId224" Target="https://doi.org/10.1186/1471-2105-9-559" TargetMode="External" /><Relationship Type="http://schemas.openxmlformats.org/officeDocument/2006/relationships/hyperlink" Id="rId188" Target="https://doi.org/10.1186/1471-2164-9-540" TargetMode="External" /><Relationship Type="http://schemas.openxmlformats.org/officeDocument/2006/relationships/hyperlink" Id="rId134" Target="https://doi.org/10.1186/s12864-017-3959-0" TargetMode="External" /><Relationship Type="http://schemas.openxmlformats.org/officeDocument/2006/relationships/hyperlink" Id="rId158" Target="https://doi.org/10.1186/s12864-021-08114-y" TargetMode="External" /><Relationship Type="http://schemas.openxmlformats.org/officeDocument/2006/relationships/hyperlink" Id="rId182" Target="https://doi.org/10.1186/s12915-017-0459-2" TargetMode="External" /><Relationship Type="http://schemas.openxmlformats.org/officeDocument/2006/relationships/hyperlink" Id="rId228" Target="https://doi.org/10.1186/s13059-014-0550-8" TargetMode="External" /><Relationship Type="http://schemas.openxmlformats.org/officeDocument/2006/relationships/hyperlink" Id="rId178" Target="https://doi.org/10.1186/s40168-022-01369-x" TargetMode="External" /><Relationship Type="http://schemas.openxmlformats.org/officeDocument/2006/relationships/hyperlink" Id="rId240" Target="https://doi.org/10.1210/edrv.22.3.0432" TargetMode="External" /><Relationship Type="http://schemas.openxmlformats.org/officeDocument/2006/relationships/hyperlink" Id="rId316" Target="https://doi.org/10.1210/er.2011-1050" TargetMode="External" /><Relationship Type="http://schemas.openxmlformats.org/officeDocument/2006/relationships/hyperlink" Id="rId156" Target="https://doi.org/10.1242/jeb.243187" TargetMode="External" /><Relationship Type="http://schemas.openxmlformats.org/officeDocument/2006/relationships/hyperlink" Id="rId234" Target="https://doi.org/10.1371/journal.pcbi.1009442" TargetMode="External" /><Relationship Type="http://schemas.openxmlformats.org/officeDocument/2006/relationships/hyperlink" Id="rId252" Target="https://doi.org/10.1371/journal.pone.0084115" TargetMode="External" /><Relationship Type="http://schemas.openxmlformats.org/officeDocument/2006/relationships/hyperlink" Id="rId330" Target="https://doi.org/10.21105/joss.01686" TargetMode="External" /><Relationship Type="http://schemas.openxmlformats.org/officeDocument/2006/relationships/hyperlink" Id="rId226" Target="https://doi.org/10.2166/wst.1991.0283" TargetMode="External" /><Relationship Type="http://schemas.openxmlformats.org/officeDocument/2006/relationships/hyperlink" Id="rId258" Target="https://doi.org/10.3354/meps09530" TargetMode="External" /><Relationship Type="http://schemas.openxmlformats.org/officeDocument/2006/relationships/hyperlink" Id="rId336" Target="https://doi.org/10.3354/meps10499" TargetMode="External" /><Relationship Type="http://schemas.openxmlformats.org/officeDocument/2006/relationships/hyperlink" Id="rId300" Target="https://doi.org/10.3354/meps269121" TargetMode="External" /><Relationship Type="http://schemas.openxmlformats.org/officeDocument/2006/relationships/hyperlink" Id="rId282" Target="https://doi.org/10.3389/fmars.2018.00226" TargetMode="External" /><Relationship Type="http://schemas.openxmlformats.org/officeDocument/2006/relationships/hyperlink" Id="rId338" Target="https://doi.org/10.3389/fmars.2021.658361" TargetMode="External" /><Relationship Type="http://schemas.openxmlformats.org/officeDocument/2006/relationships/hyperlink" Id="rId332" Target="https://doi.org/10.3389/fmars.2025.1596594" TargetMode="External" /><Relationship Type="http://schemas.openxmlformats.org/officeDocument/2006/relationships/hyperlink" Id="rId276" Target="https://doi.org/10.3389/fmicb.2011.00172" TargetMode="External" /><Relationship Type="http://schemas.openxmlformats.org/officeDocument/2006/relationships/hyperlink" Id="rId184" Target="https://doi.org/10.3389/fmicb.2017.02224" TargetMode="External" /><Relationship Type="http://schemas.openxmlformats.org/officeDocument/2006/relationships/hyperlink" Id="rId142" Target="https://doi.org/10.3389/fmicb.2018.03079" TargetMode="External" /><Relationship Type="http://schemas.openxmlformats.org/officeDocument/2006/relationships/hyperlink" Id="rId220" Target="https://doi.org/10.3389/fmicb.2019.01132" TargetMode="External" /><Relationship Type="http://schemas.openxmlformats.org/officeDocument/2006/relationships/hyperlink" Id="rId146" Target="https://doi.org/10.3389/fmicb.2019.01529" TargetMode="External" /><Relationship Type="http://schemas.openxmlformats.org/officeDocument/2006/relationships/hyperlink" Id="rId328" Target="https://doi.org/10.3390/app11188529" TargetMode="External" /><Relationship Type="http://schemas.openxmlformats.org/officeDocument/2006/relationships/hyperlink" Id="rId148" Target="https://doi.org/10.3390/d11120228" TargetMode="External" /><Relationship Type="http://schemas.openxmlformats.org/officeDocument/2006/relationships/hyperlink" Id="rId166" Target="https://doi.org/10.4319/lo.2014.59.3.0758" TargetMode="External" /><Relationship Type="http://schemas.openxmlformats.org/officeDocument/2006/relationships/hyperlink" Id="rId208" Target="https://doi.org/10.5194/bg-17-2181-2020" TargetMode="External" /><Relationship Type="http://schemas.openxmlformats.org/officeDocument/2006/relationships/hyperlink" Id="rId170" Target="https://doi.org/10.7717/peerj.4308" TargetMode="External" /><Relationship Type="http://schemas.openxmlformats.org/officeDocument/2006/relationships/hyperlink" Id="rId292" Target="https://gcrmn.net/wp-content/uploads/2021/10/Executive-Summary-with-Forewords.pdf" TargetMode="External" /><Relationship Type="http://schemas.openxmlformats.org/officeDocument/2006/relationships/hyperlink" Id="rId34" Target="https://github.com/sarahtanja/coral-embryo-RNAseq/tree/main/code" TargetMode="External" /><Relationship Type="http://schemas.openxmlformats.org/officeDocument/2006/relationships/hyperlink" Id="rId26" Target="https://github.com/sarahtanja/coral-embryo-scope/blob/main/code/03_survival.md" TargetMode="External" /><Relationship Type="http://schemas.openxmlformats.org/officeDocument/2006/relationships/hyperlink" Id="rId28" Target="https://github.com/sarahtanja/coral-embryo-scope/blob/main/code/04_timing.md" TargetMode="External" /><Relationship Type="http://schemas.openxmlformats.org/officeDocument/2006/relationships/hyperlink" Id="rId30" Target="https://github.com/sarahtanja/coral-embryo-scope/blob/main/code/05_abnormality.md" TargetMode="External" /><Relationship Type="http://schemas.openxmlformats.org/officeDocument/2006/relationships/hyperlink" Id="rId20" Target="https://github.com/sarahtanja/coral-embryo-scope/tree/main/scope-images" TargetMode="External" /><Relationship Type="http://schemas.openxmlformats.org/officeDocument/2006/relationships/hyperlink" Id="rId284" Target="https://ourworldindata.org/grapher/share-of-global-plastic-waste-emitted-to-the-ocean" TargetMode="External" /><Relationship Type="http://schemas.openxmlformats.org/officeDocument/2006/relationships/hyperlink" Id="rId244" Target="https://www.frontiersin.org/articles/10.3389/fgene.2021.793306" TargetMode="External" /><Relationship Type="http://schemas.openxmlformats.org/officeDocument/2006/relationships/hyperlink" Id="rId274" Target="https://www.researchgate.net/publication/239063261" TargetMode="External" /></Relationships>
</file>

<file path=word/_rels/footnotes.xml.rels><?xml version="1.0" encoding="UTF-8"?><Relationships xmlns="http://schemas.openxmlformats.org/package/2006/relationships"><Relationship Type="http://schemas.openxmlformats.org/officeDocument/2006/relationships/hyperlink" Id="rId238" Target="https://apps.ecology.wa.gov/publications/documents/2203027.pdf" TargetMode="External" /><Relationship Type="http://schemas.openxmlformats.org/officeDocument/2006/relationships/hyperlink" Id="rId230" Target="https://doi.org/10.1002/9781119768432.ch2" TargetMode="External" /><Relationship Type="http://schemas.openxmlformats.org/officeDocument/2006/relationships/hyperlink" Id="rId286" Target="https://doi.org/10.1002/etc.4371" TargetMode="External" /><Relationship Type="http://schemas.openxmlformats.org/officeDocument/2006/relationships/hyperlink" Id="rId154" Target="https://doi.org/10.1002/imt2.107" TargetMode="External" /><Relationship Type="http://schemas.openxmlformats.org/officeDocument/2006/relationships/hyperlink" Id="rId186" Target="https://doi.org/10.1006/mpev.2001.0994" TargetMode="External" /><Relationship Type="http://schemas.openxmlformats.org/officeDocument/2006/relationships/hyperlink" Id="rId280" Target="https://doi.org/10.1007/978-1-4615-5995-5_8" TargetMode="External" /><Relationship Type="http://schemas.openxmlformats.org/officeDocument/2006/relationships/hyperlink" Id="rId144" Target="https://doi.org/10.1007/bf00291932" TargetMode="External" /><Relationship Type="http://schemas.openxmlformats.org/officeDocument/2006/relationships/hyperlink" Id="rId256" Target="https://doi.org/10.1007/s00338-010-0700-8" TargetMode="External" /><Relationship Type="http://schemas.openxmlformats.org/officeDocument/2006/relationships/hyperlink" Id="rId290" Target="https://doi.org/10.1007/s003380050158" TargetMode="External" /><Relationship Type="http://schemas.openxmlformats.org/officeDocument/2006/relationships/hyperlink" Id="rId176" Target="https://doi.org/10.1007/s10533-012-9719-y" TargetMode="External" /><Relationship Type="http://schemas.openxmlformats.org/officeDocument/2006/relationships/hyperlink" Id="rId304" Target="https://doi.org/10.1007/s10646-006-0121-1" TargetMode="External" /><Relationship Type="http://schemas.openxmlformats.org/officeDocument/2006/relationships/hyperlink" Id="rId212" Target="https://doi.org/10.1016/0923-2508(96)80560-2" TargetMode="External" /><Relationship Type="http://schemas.openxmlformats.org/officeDocument/2006/relationships/hyperlink" Id="rId312" Target="https://doi.org/10.1016/j.cbpa.2006.01.011" TargetMode="External" /><Relationship Type="http://schemas.openxmlformats.org/officeDocument/2006/relationships/hyperlink" Id="rId196" Target="https://doi.org/10.1016/j.chemosphere.2017.05.096" TargetMode="External" /><Relationship Type="http://schemas.openxmlformats.org/officeDocument/2006/relationships/hyperlink" Id="rId288" Target="https://doi.org/10.1016/j.chroma.2020.460852" TargetMode="External" /><Relationship Type="http://schemas.openxmlformats.org/officeDocument/2006/relationships/hyperlink" Id="rId202" Target="https://doi.org/10.1016/j.cub.2025.05.013" TargetMode="External" /><Relationship Type="http://schemas.openxmlformats.org/officeDocument/2006/relationships/hyperlink" Id="rId138" Target="https://doi.org/10.1016/j.ecoenv.2011.07.037" TargetMode="External" /><Relationship Type="http://schemas.openxmlformats.org/officeDocument/2006/relationships/hyperlink" Id="rId180" Target="https://doi.org/10.1016/j.ecoenv.2024.116473" TargetMode="External" /><Relationship Type="http://schemas.openxmlformats.org/officeDocument/2006/relationships/hyperlink" Id="rId278" Target="https://doi.org/10.1016/j.envpol.2020.115744" TargetMode="External" /><Relationship Type="http://schemas.openxmlformats.org/officeDocument/2006/relationships/hyperlink" Id="rId320" Target="https://doi.org/10.1016/j.envpol.2022.120285" TargetMode="External" /><Relationship Type="http://schemas.openxmlformats.org/officeDocument/2006/relationships/hyperlink" Id="rId152" Target="https://doi.org/10.1016/j.envpol.2022.120951" TargetMode="External" /><Relationship Type="http://schemas.openxmlformats.org/officeDocument/2006/relationships/hyperlink" Id="rId192" Target="https://doi.org/10.1016/j.jhazmat.2017.10.014" TargetMode="External" /><Relationship Type="http://schemas.openxmlformats.org/officeDocument/2006/relationships/hyperlink" Id="rId236" Target="https://doi.org/10.1016/j.lfs.2015.10.022" TargetMode="External" /><Relationship Type="http://schemas.openxmlformats.org/officeDocument/2006/relationships/hyperlink" Id="rId136" Target="https://doi.org/10.1016/j.marpolbul.2012.08.029" TargetMode="External" /><Relationship Type="http://schemas.openxmlformats.org/officeDocument/2006/relationships/hyperlink" Id="rId214" Target="https://doi.org/10.1016/j.marpolbul.2023.115604" TargetMode="External" /><Relationship Type="http://schemas.openxmlformats.org/officeDocument/2006/relationships/hyperlink" Id="rId172" Target="https://doi.org/10.1016/j.oneear.2021.08.016" TargetMode="External" /><Relationship Type="http://schemas.openxmlformats.org/officeDocument/2006/relationships/hyperlink" Id="rId272" Target="https://doi.org/10.1016/j.reprotox.2007.11.002" TargetMode="External" /><Relationship Type="http://schemas.openxmlformats.org/officeDocument/2006/relationships/hyperlink" Id="rId246" Target="https://doi.org/10.1016/j.scitotenv.2015.02.013" TargetMode="External" /><Relationship Type="http://schemas.openxmlformats.org/officeDocument/2006/relationships/hyperlink" Id="rId262" Target="https://doi.org/10.1016/j.scitotenv.2017.11.306" TargetMode="External" /><Relationship Type="http://schemas.openxmlformats.org/officeDocument/2006/relationships/hyperlink" Id="rId340" Target="https://doi.org/10.1016/j.scitotenv.2021.145418" TargetMode="External" /><Relationship Type="http://schemas.openxmlformats.org/officeDocument/2006/relationships/hyperlink" Id="rId260" Target="https://doi.org/10.1016/j.scitotenv.2022.160901" TargetMode="External" /><Relationship Type="http://schemas.openxmlformats.org/officeDocument/2006/relationships/hyperlink" Id="rId266" Target="https://doi.org/10.1016/j.scitotenv.2023.162557" TargetMode="External" /><Relationship Type="http://schemas.openxmlformats.org/officeDocument/2006/relationships/hyperlink" Id="rId206" Target="https://doi.org/10.1016/j.scitotenv.2024.170651" TargetMode="External" /><Relationship Type="http://schemas.openxmlformats.org/officeDocument/2006/relationships/hyperlink" Id="rId204" Target="https://doi.org/10.1016/j.scitotenv.2025.179239" TargetMode="External" /><Relationship Type="http://schemas.openxmlformats.org/officeDocument/2006/relationships/hyperlink" Id="rId268" Target="https://doi.org/10.1016/j.tim.2009.12.002" TargetMode="External" /><Relationship Type="http://schemas.openxmlformats.org/officeDocument/2006/relationships/hyperlink" Id="rId190" Target="https://doi.org/10.1016/j.watres.2020.116170" TargetMode="External" /><Relationship Type="http://schemas.openxmlformats.org/officeDocument/2006/relationships/hyperlink" Id="rId302" Target="https://doi.org/10.1016/s1095-6433(98)10155-1" TargetMode="External" /><Relationship Type="http://schemas.openxmlformats.org/officeDocument/2006/relationships/hyperlink" Id="rId306" Target="https://doi.org/10.1016/s1096-4959(03)00253-7" TargetMode="External" /><Relationship Type="http://schemas.openxmlformats.org/officeDocument/2006/relationships/hyperlink" Id="rId248" Target="https://doi.org/10.1038/ismej.2007.65" TargetMode="External" /><Relationship Type="http://schemas.openxmlformats.org/officeDocument/2006/relationships/hyperlink" Id="rId270" Target="https://doi.org/10.1038/nature12677" TargetMode="External" /><Relationship Type="http://schemas.openxmlformats.org/officeDocument/2006/relationships/hyperlink" Id="rId264" Target="https://doi.org/10.1038/nbt.3122" TargetMode="External" /><Relationship Type="http://schemas.openxmlformats.org/officeDocument/2006/relationships/hyperlink" Id="rId162" Target="https://doi.org/10.1038/s41467-020-19169-y" TargetMode="External" /><Relationship Type="http://schemas.openxmlformats.org/officeDocument/2006/relationships/hyperlink" Id="rId216" Target="https://doi.org/10.1038/s41587-019-0201-4" TargetMode="External" /><Relationship Type="http://schemas.openxmlformats.org/officeDocument/2006/relationships/hyperlink" Id="rId150" Target="https://doi.org/10.1038/s41587-019-0209-9" TargetMode="External" /><Relationship Type="http://schemas.openxmlformats.org/officeDocument/2006/relationships/hyperlink" Id="rId168" Target="https://doi.org/10.1038/s41587-020-0548-6" TargetMode="External" /><Relationship Type="http://schemas.openxmlformats.org/officeDocument/2006/relationships/hyperlink" Id="rId322" Target="https://doi.org/10.1038/s41598-023-38512-z" TargetMode="External" /><Relationship Type="http://schemas.openxmlformats.org/officeDocument/2006/relationships/hyperlink" Id="rId308" Target="https://doi.org/10.1038/s42003-019-0410-x" TargetMode="External" /><Relationship Type="http://schemas.openxmlformats.org/officeDocument/2006/relationships/hyperlink" Id="rId250" Target="https://doi.org/10.1073/pnas.0603422104" TargetMode="External" /><Relationship Type="http://schemas.openxmlformats.org/officeDocument/2006/relationships/hyperlink" Id="rId314" Target="https://doi.org/10.1080/17446651.2021.1917991" TargetMode="External" /><Relationship Type="http://schemas.openxmlformats.org/officeDocument/2006/relationships/hyperlink" Id="rId174" Target="https://doi.org/10.1093/bioinformatics/btw354" TargetMode="External" /><Relationship Type="http://schemas.openxmlformats.org/officeDocument/2006/relationships/hyperlink" Id="rId164" Target="https://doi.org/10.1093/gigascience/giab008" TargetMode="External" /><Relationship Type="http://schemas.openxmlformats.org/officeDocument/2006/relationships/hyperlink" Id="rId294" Target="https://doi.org/10.1093/gigascience/giac098" TargetMode="External" /><Relationship Type="http://schemas.openxmlformats.org/officeDocument/2006/relationships/hyperlink" Id="rId298" Target="https://doi.org/10.1093/icb/45.1.201" TargetMode="External" /><Relationship Type="http://schemas.openxmlformats.org/officeDocument/2006/relationships/hyperlink" Id="rId334" Target="https://doi.org/10.1093/icb/icae143" TargetMode="External" /><Relationship Type="http://schemas.openxmlformats.org/officeDocument/2006/relationships/hyperlink" Id="rId218" Target="https://doi.org/10.1099/ijs.0.65139-0" TargetMode="External" /><Relationship Type="http://schemas.openxmlformats.org/officeDocument/2006/relationships/hyperlink" Id="rId324" Target="https://doi.org/10.1101/2023.02.13.528379" TargetMode="External" /><Relationship Type="http://schemas.openxmlformats.org/officeDocument/2006/relationships/hyperlink" Id="rId200" Target="https://doi.org/10.1101/2023.03.20.533475" TargetMode="External" /><Relationship Type="http://schemas.openxmlformats.org/officeDocument/2006/relationships/hyperlink" Id="rId310" Target="https://doi.org/10.1101/2023.07.03.547448" TargetMode="External" /><Relationship Type="http://schemas.openxmlformats.org/officeDocument/2006/relationships/hyperlink" Id="rId194" Target="https://doi.org/10.1101/399766" TargetMode="External" /><Relationship Type="http://schemas.openxmlformats.org/officeDocument/2006/relationships/hyperlink" Id="rId254" Target="https://doi.org/10.1111/gcb.13647" TargetMode="External" /><Relationship Type="http://schemas.openxmlformats.org/officeDocument/2006/relationships/hyperlink" Id="rId318" Target="https://doi.org/10.1111/j.1462-2920.2009.01935.x" TargetMode="External" /><Relationship Type="http://schemas.openxmlformats.org/officeDocument/2006/relationships/hyperlink" Id="rId326" Target="https://doi.org/10.1111/j.2041-210x.2012.00190.x" TargetMode="External" /><Relationship Type="http://schemas.openxmlformats.org/officeDocument/2006/relationships/hyperlink" Id="rId242" Target="https://doi.org/10.1126/sciadv.aaz5803" TargetMode="External" /><Relationship Type="http://schemas.openxmlformats.org/officeDocument/2006/relationships/hyperlink" Id="rId198" Target="https://doi.org/10.1126/science.1216055" TargetMode="External" /><Relationship Type="http://schemas.openxmlformats.org/officeDocument/2006/relationships/hyperlink" Id="rId210" Target="https://doi.org/10.1126/science.1260352" TargetMode="External" /><Relationship Type="http://schemas.openxmlformats.org/officeDocument/2006/relationships/hyperlink" Id="rId222" Target="https://doi.org/10.1126/science.aar3320" TargetMode="External" /><Relationship Type="http://schemas.openxmlformats.org/officeDocument/2006/relationships/hyperlink" Id="rId296" Target="https://doi.org/10.1126/science.abb0354" TargetMode="External" /><Relationship Type="http://schemas.openxmlformats.org/officeDocument/2006/relationships/hyperlink" Id="rId232" Target="https://doi.org/10.1126/science.abg5433" TargetMode="External" /><Relationship Type="http://schemas.openxmlformats.org/officeDocument/2006/relationships/hyperlink" Id="rId160" Target="https://doi.org/10.1126/scisignal.aan1188" TargetMode="External" /><Relationship Type="http://schemas.openxmlformats.org/officeDocument/2006/relationships/hyperlink" Id="rId140" Target="https://doi.org/10.1128/AEM.01232-12" TargetMode="External" /><Relationship Type="http://schemas.openxmlformats.org/officeDocument/2006/relationships/hyperlink" Id="rId224" Target="https://doi.org/10.1186/1471-2105-9-559" TargetMode="External" /><Relationship Type="http://schemas.openxmlformats.org/officeDocument/2006/relationships/hyperlink" Id="rId188" Target="https://doi.org/10.1186/1471-2164-9-540" TargetMode="External" /><Relationship Type="http://schemas.openxmlformats.org/officeDocument/2006/relationships/hyperlink" Id="rId134" Target="https://doi.org/10.1186/s12864-017-3959-0" TargetMode="External" /><Relationship Type="http://schemas.openxmlformats.org/officeDocument/2006/relationships/hyperlink" Id="rId158" Target="https://doi.org/10.1186/s12864-021-08114-y" TargetMode="External" /><Relationship Type="http://schemas.openxmlformats.org/officeDocument/2006/relationships/hyperlink" Id="rId182" Target="https://doi.org/10.1186/s12915-017-0459-2" TargetMode="External" /><Relationship Type="http://schemas.openxmlformats.org/officeDocument/2006/relationships/hyperlink" Id="rId228" Target="https://doi.org/10.1186/s13059-014-0550-8" TargetMode="External" /><Relationship Type="http://schemas.openxmlformats.org/officeDocument/2006/relationships/hyperlink" Id="rId178" Target="https://doi.org/10.1186/s40168-022-01369-x" TargetMode="External" /><Relationship Type="http://schemas.openxmlformats.org/officeDocument/2006/relationships/hyperlink" Id="rId240" Target="https://doi.org/10.1210/edrv.22.3.0432" TargetMode="External" /><Relationship Type="http://schemas.openxmlformats.org/officeDocument/2006/relationships/hyperlink" Id="rId316" Target="https://doi.org/10.1210/er.2011-1050" TargetMode="External" /><Relationship Type="http://schemas.openxmlformats.org/officeDocument/2006/relationships/hyperlink" Id="rId156" Target="https://doi.org/10.1242/jeb.243187" TargetMode="External" /><Relationship Type="http://schemas.openxmlformats.org/officeDocument/2006/relationships/hyperlink" Id="rId234" Target="https://doi.org/10.1371/journal.pcbi.1009442" TargetMode="External" /><Relationship Type="http://schemas.openxmlformats.org/officeDocument/2006/relationships/hyperlink" Id="rId252" Target="https://doi.org/10.1371/journal.pone.0084115" TargetMode="External" /><Relationship Type="http://schemas.openxmlformats.org/officeDocument/2006/relationships/hyperlink" Id="rId330" Target="https://doi.org/10.21105/joss.01686" TargetMode="External" /><Relationship Type="http://schemas.openxmlformats.org/officeDocument/2006/relationships/hyperlink" Id="rId226" Target="https://doi.org/10.2166/wst.1991.0283" TargetMode="External" /><Relationship Type="http://schemas.openxmlformats.org/officeDocument/2006/relationships/hyperlink" Id="rId258" Target="https://doi.org/10.3354/meps09530" TargetMode="External" /><Relationship Type="http://schemas.openxmlformats.org/officeDocument/2006/relationships/hyperlink" Id="rId336" Target="https://doi.org/10.3354/meps10499" TargetMode="External" /><Relationship Type="http://schemas.openxmlformats.org/officeDocument/2006/relationships/hyperlink" Id="rId300" Target="https://doi.org/10.3354/meps269121" TargetMode="External" /><Relationship Type="http://schemas.openxmlformats.org/officeDocument/2006/relationships/hyperlink" Id="rId282" Target="https://doi.org/10.3389/fmars.2018.00226" TargetMode="External" /><Relationship Type="http://schemas.openxmlformats.org/officeDocument/2006/relationships/hyperlink" Id="rId338" Target="https://doi.org/10.3389/fmars.2021.658361" TargetMode="External" /><Relationship Type="http://schemas.openxmlformats.org/officeDocument/2006/relationships/hyperlink" Id="rId332" Target="https://doi.org/10.3389/fmars.2025.1596594" TargetMode="External" /><Relationship Type="http://schemas.openxmlformats.org/officeDocument/2006/relationships/hyperlink" Id="rId276" Target="https://doi.org/10.3389/fmicb.2011.00172" TargetMode="External" /><Relationship Type="http://schemas.openxmlformats.org/officeDocument/2006/relationships/hyperlink" Id="rId184" Target="https://doi.org/10.3389/fmicb.2017.02224" TargetMode="External" /><Relationship Type="http://schemas.openxmlformats.org/officeDocument/2006/relationships/hyperlink" Id="rId142" Target="https://doi.org/10.3389/fmicb.2018.03079" TargetMode="External" /><Relationship Type="http://schemas.openxmlformats.org/officeDocument/2006/relationships/hyperlink" Id="rId220" Target="https://doi.org/10.3389/fmicb.2019.01132" TargetMode="External" /><Relationship Type="http://schemas.openxmlformats.org/officeDocument/2006/relationships/hyperlink" Id="rId146" Target="https://doi.org/10.3389/fmicb.2019.01529" TargetMode="External" /><Relationship Type="http://schemas.openxmlformats.org/officeDocument/2006/relationships/hyperlink" Id="rId328" Target="https://doi.org/10.3390/app11188529" TargetMode="External" /><Relationship Type="http://schemas.openxmlformats.org/officeDocument/2006/relationships/hyperlink" Id="rId148" Target="https://doi.org/10.3390/d11120228" TargetMode="External" /><Relationship Type="http://schemas.openxmlformats.org/officeDocument/2006/relationships/hyperlink" Id="rId166" Target="https://doi.org/10.4319/lo.2014.59.3.0758" TargetMode="External" /><Relationship Type="http://schemas.openxmlformats.org/officeDocument/2006/relationships/hyperlink" Id="rId208" Target="https://doi.org/10.5194/bg-17-2181-2020" TargetMode="External" /><Relationship Type="http://schemas.openxmlformats.org/officeDocument/2006/relationships/hyperlink" Id="rId170" Target="https://doi.org/10.7717/peerj.4308" TargetMode="External" /><Relationship Type="http://schemas.openxmlformats.org/officeDocument/2006/relationships/hyperlink" Id="rId292" Target="https://gcrmn.net/wp-content/uploads/2021/10/Executive-Summary-with-Forewords.pdf" TargetMode="External" /><Relationship Type="http://schemas.openxmlformats.org/officeDocument/2006/relationships/hyperlink" Id="rId34" Target="https://github.com/sarahtanja/coral-embryo-RNAseq/tree/main/code" TargetMode="External" /><Relationship Type="http://schemas.openxmlformats.org/officeDocument/2006/relationships/hyperlink" Id="rId26" Target="https://github.com/sarahtanja/coral-embryo-scope/blob/main/code/03_survival.md" TargetMode="External" /><Relationship Type="http://schemas.openxmlformats.org/officeDocument/2006/relationships/hyperlink" Id="rId28" Target="https://github.com/sarahtanja/coral-embryo-scope/blob/main/code/04_timing.md" TargetMode="External" /><Relationship Type="http://schemas.openxmlformats.org/officeDocument/2006/relationships/hyperlink" Id="rId30" Target="https://github.com/sarahtanja/coral-embryo-scope/blob/main/code/05_abnormality.md" TargetMode="External" /><Relationship Type="http://schemas.openxmlformats.org/officeDocument/2006/relationships/hyperlink" Id="rId20" Target="https://github.com/sarahtanja/coral-embryo-scope/tree/main/scope-images" TargetMode="External" /><Relationship Type="http://schemas.openxmlformats.org/officeDocument/2006/relationships/hyperlink" Id="rId284" Target="https://ourworldindata.org/grapher/share-of-global-plastic-waste-emitted-to-the-ocean" TargetMode="External" /><Relationship Type="http://schemas.openxmlformats.org/officeDocument/2006/relationships/hyperlink" Id="rId244" Target="https://www.frontiersin.org/articles/10.3389/fgene.2021.793306" TargetMode="External" /><Relationship Type="http://schemas.openxmlformats.org/officeDocument/2006/relationships/hyperlink" Id="rId274" Target="https://www.researchgate.net/publication/239063261"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Hidden Impacts of Plastic Pollution on Coral Embryos</dc:title>
  <dc:creator>Sarah Tanja; Steven Roberts; Francesco Saliu; Stephan Salipante; Jacqueline L. Padilla-Gamiño</dc:creator>
  <cp:keywords>coral embryonic development, microplastics, polyvinyl chloride leachate, phthalates, low dose effects, endocrine disrupting chemicals, microbiome, transcriptomics</cp:keywords>
  <dcterms:created xsi:type="dcterms:W3CDTF">2026-05-21T20:16:40Z</dcterms:created>
  <dcterms:modified xsi:type="dcterms:W3CDTF">2026-05-21T20:16:40Z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Ocean plastic pollution releases chemical compounds as materials degrade. Polyvinyl Chloride (PVC) in particular contains high levels of endocrine-disrupting additives that are ubiquitously released into coastal environments as leachate. Despite this, the impacts of PVC leachate on marine life remain poorly understood. We investigated the ecotoxicological responses of three levels of PVC leachate (0.01 mg/L, 0.1 mg/L, 1 mg/L) during the first 14 hours post fertilization (hpf) of embryonic development in the coral Montipora capitata. PVC leachate did not affect embryo survival or the rate of morphological abnormality; however, we did detect subtle changes in developmental timing. Furthermore, RNAseq analysis identified 130 differentially expressed genes (DEGs) responsive to PVC leachate treatments. Gene expression responses to leachate exposure were strongest at low (0.01 mg/L) and moderate (0.1 mg/L) levels, and during the earliest developmental stage (cleavage, 4 hpf), indicating a non-monotonic response pattern and suggesting sublethal effects of low-dose PVC leachate exposure in developing Montipora capitata embryos. Additionally, analysis of 16S rRNA gene sequences (V4 region) revealed 9 bacterial taxa and 17 predicted microbial functional pathways responsive to PVC leachate, with differences in abundance and/or prevalence compared to controls. Our findings indicate that current environmental levels of PVC pollution may already subtly influence gene expression and early microbiome assembly in coral embryos as early as 4 hours post-fertilization, providing new insights into the sublethal, mechanistic impacts of plastic-derived chemicals.</vt:lpwstr>
  </property>
  <property fmtid="{D5CDD505-2E9C-101B-9397-08002B2CF9AE}" pid="3" name="affiliations">
    <vt:lpwstr/>
  </property>
  <property fmtid="{D5CDD505-2E9C-101B-9397-08002B2CF9AE}" pid="4" name="authors">
    <vt:lpwstr/>
  </property>
  <property fmtid="{D5CDD505-2E9C-101B-9397-08002B2CF9AE}" pid="5" name="biblio-config">
    <vt:lpwstr>True</vt:lpwstr>
  </property>
  <property fmtid="{D5CDD505-2E9C-101B-9397-08002B2CF9AE}" pid="6" name="bibliography">
    <vt:lpwstr>thesis.bib</vt:lpwstr>
  </property>
  <property fmtid="{D5CDD505-2E9C-101B-9397-08002B2CF9AE}" pid="7" name="by-affiliation">
    <vt:lpwstr/>
  </property>
  <property fmtid="{D5CDD505-2E9C-101B-9397-08002B2CF9AE}" pid="8" name="by-author">
    <vt:lpwstr/>
  </property>
  <property fmtid="{D5CDD505-2E9C-101B-9397-08002B2CF9AE}" pid="9" name="citation">
    <vt:lpwstr/>
  </property>
  <property fmtid="{D5CDD505-2E9C-101B-9397-08002B2CF9AE}" pid="10" name="clear-hidden-classes">
    <vt:lpwstr>none</vt:lpwstr>
  </property>
  <property fmtid="{D5CDD505-2E9C-101B-9397-08002B2CF9AE}" pid="11" name="date">
    <vt:lpwstr>2026-05-21</vt:lpwstr>
  </property>
  <property fmtid="{D5CDD505-2E9C-101B-9397-08002B2CF9AE}" pid="12" name="editor">
    <vt:lpwstr/>
  </property>
  <property fmtid="{D5CDD505-2E9C-101B-9397-08002B2CF9AE}" pid="13" name="engines">
    <vt:lpwstr/>
  </property>
  <property fmtid="{D5CDD505-2E9C-101B-9397-08002B2CF9AE}" pid="14" name="google-scholar">
    <vt:lpwstr>True</vt:lpwstr>
  </property>
  <property fmtid="{D5CDD505-2E9C-101B-9397-08002B2CF9AE}" pid="15" name="header-includes">
    <vt:lpwstr/>
  </property>
  <property fmtid="{D5CDD505-2E9C-101B-9397-08002B2CF9AE}" pid="16" name="include-after">
    <vt:lpwstr/>
  </property>
  <property fmtid="{D5CDD505-2E9C-101B-9397-08002B2CF9AE}" pid="17" name="include-before">
    <vt:lpwstr/>
  </property>
  <property fmtid="{D5CDD505-2E9C-101B-9397-08002B2CF9AE}" pid="18" name="key-points">
    <vt:lpwstr>PVC chemicals can affect coral embryos even at low levels. Although embryos survived and did not show major deformities, exposure to PVC leachate caused subtle changes in developmental timing, gene activity, and specific bacterial taxa.The strongest effects happened early in development. Coral embryos were most responsive during the first few hours after fertilization, showing that this early life stage may be especially sensitive to pollution.PC leacahte exposure increased prevalence and abundance of Methylophaga bacteria associated with embryos.</vt:lpwstr>
  </property>
  <property fmtid="{D5CDD505-2E9C-101B-9397-08002B2CF9AE}" pid="19" name="labels">
    <vt:lpwstr/>
  </property>
  <property fmtid="{D5CDD505-2E9C-101B-9397-08002B2CF9AE}" pid="20" name="lightbox">
    <vt:lpwstr>auto</vt:lpwstr>
  </property>
  <property fmtid="{D5CDD505-2E9C-101B-9397-08002B2CF9AE}" pid="21" name="manuscript">
    <vt:lpwstr/>
  </property>
  <property fmtid="{D5CDD505-2E9C-101B-9397-08002B2CF9AE}" pid="22" name="notebook-preview-options">
    <vt:lpwstr/>
  </property>
  <property fmtid="{D5CDD505-2E9C-101B-9397-08002B2CF9AE}" pid="23" name="plain-language-summary">
    <vt:lpwstr>Plastic pollution in the ocean releases chemicals as materials break down. One common plastic, polyvinyl chloride (PVC), contains additives that can interfere with hormones and are released into seawater. However, we still know little about how these chemicals affect marine life.We studied how PVC leachate affected early embryos of the coral Montipora capitata during the first 14 hours after fertilization. Embryos were exposed to three levels of PVC leachate (0.01, 0.1, and 1 mg/L). PVC leachate did not reduce embryo survival or increase obvious deformities, but it did cause small shifts in developmental timing. We also examined changes inside the embryos using RNA sequencing and found 130 genes whose activity changed after exposure. The strongest responses occurred at the low and moderate levels, especially during the earliest stage of development (4 hours after fertilization). This suggests that even low levels of PVC chemicals can affect coral embryos in subtle ways. We also found changes in the bacterial communities associated with embryos, with 9 bacterial types differing across treatments. Overall, our results suggest that environmental levels of PVC pollution may already be affecting coral embryos by altering gene activity and early microbiome development only hours after fertilization. These hidden effects could have important consequences for coral health and reef resilience.</vt:lpwstr>
  </property>
  <property fmtid="{D5CDD505-2E9C-101B-9397-08002B2CF9AE}" pid="24" name="quarto-internal">
    <vt:lpwstr/>
  </property>
  <property fmtid="{D5CDD505-2E9C-101B-9397-08002B2CF9AE}" pid="25" name="remove-hidden">
    <vt:lpwstr>all</vt:lpwstr>
  </property>
  <property fmtid="{D5CDD505-2E9C-101B-9397-08002B2CF9AE}" pid="26" name="subtitle">
    <vt:lpwstr>PVC Leachates Affect Developmental Timing, Gene Expression, and Microbes in early life history stages of the coral Montipora capitata</vt:lpwstr>
  </property>
  <property fmtid="{D5CDD505-2E9C-101B-9397-08002B2CF9AE}" pid="27" name="template-partials">
    <vt:lpwstr/>
  </property>
  <property fmtid="{D5CDD505-2E9C-101B-9397-08002B2CF9AE}" pid="28" name="theme">
    <vt:lpwstr>cosmo</vt:lpwstr>
  </property>
  <property fmtid="{D5CDD505-2E9C-101B-9397-08002B2CF9AE}" pid="29" name="title-block-style">
    <vt:lpwstr>manuscript</vt:lpwstr>
  </property>
  <property fmtid="{D5CDD505-2E9C-101B-9397-08002B2CF9AE}" pid="30" name="toc-title">
    <vt:lpwstr>Table of contents</vt:lpwstr>
  </property>
  <property fmtid="{D5CDD505-2E9C-101B-9397-08002B2CF9AE}" pid="31" name="unroll-markdown-cells">
    <vt:lpwstr>True</vt:lpwstr>
  </property>
</Properties>
</file>